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Times New Roman" w:hAnsi="Times New Roman" w:cs="Times New Roman"/>
          <w:color w:val="auto"/>
          <w:sz w:val="44"/>
          <w:szCs w:val="44"/>
          <w:highlight w:val="none"/>
        </w:rPr>
      </w:pP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jc w:val="center"/>
              <w:rPr>
                <w:rFonts w:hint="default" w:ascii="Times New Roman" w:hAnsi="Times New Roman" w:cs="Times New Roman"/>
                <w:color w:val="auto"/>
                <w:highlight w:val="none"/>
              </w:rPr>
            </w:pPr>
          </w:p>
          <w:p>
            <w:pPr>
              <w:jc w:val="center"/>
              <w:rPr>
                <w:rFonts w:hint="default" w:ascii="Times New Roman" w:hAnsi="Times New Roman" w:cs="Times New Roman"/>
                <w:color w:val="auto"/>
                <w:highlight w:val="none"/>
              </w:rPr>
            </w:pPr>
          </w:p>
          <w:p>
            <w:pPr>
              <w:jc w:val="center"/>
              <w:rPr>
                <w:rFonts w:hint="default" w:ascii="Times New Roman" w:hAnsi="Times New Roman" w:cs="Times New Roman"/>
                <w:color w:val="auto"/>
                <w:highlight w:val="none"/>
              </w:rPr>
            </w:pPr>
          </w:p>
          <w:p>
            <w:pPr>
              <w:jc w:val="center"/>
              <w:rPr>
                <w:rFonts w:hint="default" w:ascii="Times New Roman" w:hAnsi="Times New Roman" w:cs="Times New Roman"/>
                <w:color w:val="auto"/>
                <w:highlight w:val="none"/>
              </w:rPr>
            </w:pPr>
          </w:p>
          <w:p>
            <w:pPr>
              <w:jc w:val="center"/>
              <w:rPr>
                <w:rFonts w:hint="default" w:ascii="Times New Roman" w:hAnsi="Times New Roman" w:cs="Times New Roman"/>
                <w:color w:val="auto"/>
                <w:sz w:val="44"/>
                <w:szCs w:val="44"/>
                <w:highlight w:val="none"/>
              </w:rPr>
            </w:pPr>
            <w:bookmarkStart w:id="0" w:name="_Toc27154"/>
            <w:bookmarkStart w:id="1" w:name="_Toc2013"/>
            <w:r>
              <w:rPr>
                <w:rFonts w:hint="default" w:ascii="Times New Roman" w:hAnsi="Times New Roman" w:cs="Times New Roman"/>
                <w:color w:val="auto"/>
                <w:sz w:val="44"/>
                <w:szCs w:val="44"/>
                <w:highlight w:val="none"/>
              </w:rPr>
              <w:t xml:space="preserve"> </w:t>
            </w:r>
            <w:r>
              <w:rPr>
                <w:rFonts w:hint="default" w:ascii="Times New Roman" w:hAnsi="Times New Roman" w:cs="Times New Roman"/>
                <w:color w:val="auto"/>
                <w:sz w:val="44"/>
                <w:szCs w:val="44"/>
                <w:highlight w:val="none"/>
              </w:rPr>
              <w:t xml:space="preserve">  </w:t>
            </w:r>
            <w:r>
              <w:rPr>
                <w:rFonts w:hint="default" w:ascii="Times New Roman" w:hAnsi="Times New Roman" w:cs="Times New Roman"/>
                <w:color w:val="auto"/>
                <w:sz w:val="44"/>
                <w:szCs w:val="44"/>
                <w:highlight w:val="none"/>
              </w:rPr>
              <w:t>建筑节能与绿色建筑设计专篇</w:t>
            </w:r>
            <w:bookmarkEnd w:id="0"/>
            <w:bookmarkEnd w:id="1"/>
          </w:p>
          <w:p>
            <w:pPr>
              <w:jc w:val="center"/>
              <w:rPr>
                <w:rFonts w:hint="default" w:ascii="Times New Roman" w:hAnsi="Times New Roman" w:cs="Times New Roman"/>
                <w:color w:val="auto"/>
                <w:sz w:val="30"/>
                <w:szCs w:val="30"/>
                <w:highlight w:val="none"/>
              </w:rPr>
            </w:pPr>
            <w:bookmarkStart w:id="2" w:name="_Toc14261"/>
            <w:bookmarkStart w:id="3" w:name="_Toc27426"/>
            <w:r>
              <w:rPr>
                <w:rFonts w:hint="default" w:ascii="Times New Roman" w:hAnsi="Times New Roman" w:cs="Times New Roman"/>
                <w:color w:val="auto"/>
                <w:sz w:val="30"/>
                <w:szCs w:val="30"/>
                <w:highlight w:val="none"/>
              </w:rPr>
              <w:t>（施工图设计阶段文本部分）</w:t>
            </w:r>
            <w:bookmarkEnd w:id="2"/>
            <w:bookmarkEnd w:id="3"/>
          </w:p>
          <w:p>
            <w:pPr>
              <w:jc w:val="center"/>
              <w:rPr>
                <w:rFonts w:hint="default" w:ascii="Times New Roman" w:hAnsi="Times New Roman" w:cs="Times New Roman"/>
                <w:color w:val="auto"/>
                <w:sz w:val="44"/>
                <w:szCs w:val="44"/>
                <w:highlight w:val="none"/>
              </w:rPr>
            </w:pPr>
          </w:p>
          <w:p>
            <w:pPr>
              <w:jc w:val="center"/>
              <w:rPr>
                <w:rFonts w:hint="default" w:ascii="Times New Roman" w:hAnsi="Times New Roman" w:cs="Times New Roman"/>
                <w:color w:val="auto"/>
                <w:sz w:val="44"/>
                <w:szCs w:val="44"/>
                <w:highlight w:val="none"/>
              </w:rPr>
            </w:pPr>
          </w:p>
          <w:p>
            <w:pPr>
              <w:jc w:val="center"/>
              <w:rPr>
                <w:rFonts w:hint="default" w:ascii="Times New Roman" w:hAnsi="Times New Roman" w:cs="Times New Roman"/>
                <w:color w:val="auto"/>
                <w:sz w:val="44"/>
                <w:szCs w:val="44"/>
                <w:highlight w:val="none"/>
              </w:rPr>
            </w:pPr>
          </w:p>
          <w:p>
            <w:pPr>
              <w:ind w:left="1260" w:leftChars="600"/>
              <w:jc w:val="left"/>
              <w:rPr>
                <w:rFonts w:hint="default" w:ascii="Times New Roman" w:hAnsi="Times New Roman" w:eastAsia="宋体" w:cs="Times New Roman"/>
                <w:color w:val="auto"/>
                <w:sz w:val="30"/>
                <w:szCs w:val="30"/>
                <w:highlight w:val="none"/>
                <w:lang w:eastAsia="zh-CN"/>
              </w:rPr>
            </w:pPr>
            <w:r>
              <w:rPr>
                <w:rFonts w:hint="default" w:ascii="Times New Roman" w:hAnsi="Times New Roman" w:cs="Times New Roman"/>
                <w:color w:val="auto"/>
                <w:sz w:val="30"/>
                <w:szCs w:val="30"/>
                <w:highlight w:val="none"/>
              </w:rPr>
              <w:t>项目名称：</w:t>
            </w:r>
            <w:r>
              <w:rPr>
                <w:rFonts w:hint="default" w:ascii="Times New Roman" w:hAnsi="Times New Roman" w:cs="Times New Roman"/>
                <w:color w:val="auto"/>
                <w:sz w:val="30"/>
                <w:szCs w:val="30"/>
                <w:highlight w:val="none"/>
                <w:lang w:eastAsia="zh-CN"/>
              </w:rPr>
              <w:t>瑞安市云周中学扩建综合教学楼工程</w:t>
            </w:r>
          </w:p>
          <w:p>
            <w:pPr>
              <w:ind w:firstLine="1200" w:firstLineChars="400"/>
              <w:jc w:val="left"/>
              <w:rPr>
                <w:rFonts w:hint="default" w:ascii="Times New Roman" w:hAnsi="Times New Roman" w:cs="Times New Roman"/>
                <w:color w:val="auto"/>
                <w:sz w:val="30"/>
                <w:szCs w:val="30"/>
                <w:highlight w:val="none"/>
              </w:rPr>
            </w:pPr>
            <w:r>
              <w:rPr>
                <w:rFonts w:hint="default" w:ascii="Times New Roman" w:hAnsi="Times New Roman" w:cs="Times New Roman"/>
                <w:color w:val="auto"/>
                <w:sz w:val="30"/>
                <w:szCs w:val="30"/>
                <w:highlight w:val="none"/>
              </w:rPr>
              <w:t>建设单位：</w:t>
            </w:r>
            <w:r>
              <w:rPr>
                <w:rFonts w:hint="default" w:ascii="Times New Roman" w:hAnsi="Times New Roman" w:cs="Times New Roman"/>
                <w:color w:val="auto"/>
                <w:sz w:val="30"/>
                <w:szCs w:val="30"/>
                <w:highlight w:val="none"/>
                <w:lang w:eastAsia="zh-CN"/>
              </w:rPr>
              <w:t>瑞安市云周中学</w:t>
            </w:r>
            <w:r>
              <w:rPr>
                <w:rFonts w:hint="default" w:ascii="Times New Roman" w:hAnsi="Times New Roman" w:cs="Times New Roman"/>
                <w:color w:val="auto"/>
                <w:sz w:val="30"/>
                <w:szCs w:val="30"/>
                <w:highlight w:val="none"/>
              </w:rPr>
              <w:t xml:space="preserve"> </w:t>
            </w:r>
            <w:r>
              <w:rPr>
                <w:rFonts w:hint="default" w:ascii="Times New Roman" w:hAnsi="Times New Roman" w:cs="Times New Roman"/>
                <w:color w:val="auto"/>
                <w:sz w:val="30"/>
                <w:szCs w:val="30"/>
                <w:highlight w:val="none"/>
              </w:rPr>
              <w:t xml:space="preserve">  </w:t>
            </w:r>
          </w:p>
          <w:p>
            <w:pPr>
              <w:ind w:firstLine="1200" w:firstLineChars="400"/>
              <w:jc w:val="left"/>
              <w:rPr>
                <w:rFonts w:hint="default" w:ascii="Times New Roman" w:hAnsi="Times New Roman" w:cs="Times New Roman"/>
                <w:color w:val="auto"/>
                <w:sz w:val="30"/>
                <w:szCs w:val="30"/>
                <w:highlight w:val="none"/>
              </w:rPr>
            </w:pPr>
            <w:r>
              <w:rPr>
                <w:rFonts w:hint="default" w:ascii="Times New Roman" w:hAnsi="Times New Roman" w:cs="Times New Roman"/>
                <w:color w:val="auto"/>
                <w:sz w:val="30"/>
                <w:szCs w:val="30"/>
                <w:highlight w:val="none"/>
              </w:rPr>
              <w:t>设计单位：</w:t>
            </w:r>
            <w:r>
              <w:rPr>
                <w:rFonts w:hint="default" w:ascii="Times New Roman" w:hAnsi="Times New Roman" w:cs="Times New Roman"/>
                <w:color w:val="auto"/>
                <w:sz w:val="30"/>
                <w:szCs w:val="30"/>
                <w:highlight w:val="none"/>
                <w:lang w:eastAsia="zh-CN"/>
              </w:rPr>
              <w:t>浙江中维建筑工程设计有限公司</w:t>
            </w:r>
            <w:r>
              <w:rPr>
                <w:rFonts w:hint="default" w:ascii="Times New Roman" w:hAnsi="Times New Roman" w:cs="Times New Roman"/>
                <w:color w:val="auto"/>
                <w:sz w:val="30"/>
                <w:szCs w:val="30"/>
                <w:highlight w:val="none"/>
              </w:rPr>
              <w:t xml:space="preserve"> </w:t>
            </w:r>
            <w:r>
              <w:rPr>
                <w:rFonts w:hint="default" w:ascii="Times New Roman" w:hAnsi="Times New Roman" w:cs="Times New Roman"/>
                <w:color w:val="auto"/>
                <w:sz w:val="30"/>
                <w:szCs w:val="30"/>
                <w:highlight w:val="none"/>
              </w:rPr>
              <w:t xml:space="preserve"> </w:t>
            </w:r>
          </w:p>
          <w:p>
            <w:pPr>
              <w:ind w:firstLine="1200" w:firstLineChars="400"/>
              <w:jc w:val="left"/>
              <w:rPr>
                <w:rFonts w:hint="default" w:ascii="Times New Roman" w:hAnsi="Times New Roman" w:cs="Times New Roman"/>
                <w:color w:val="auto"/>
                <w:sz w:val="30"/>
                <w:szCs w:val="30"/>
                <w:highlight w:val="none"/>
              </w:rPr>
            </w:pPr>
            <w:r>
              <w:rPr>
                <w:rFonts w:hint="default" w:ascii="Times New Roman" w:hAnsi="Times New Roman" w:cs="Times New Roman"/>
                <w:color w:val="auto"/>
                <w:sz w:val="30"/>
                <w:szCs w:val="30"/>
                <w:highlight w:val="none"/>
              </w:rPr>
              <w:t>项目负责人：</w:t>
            </w:r>
          </w:p>
          <w:p>
            <w:pPr>
              <w:jc w:val="center"/>
              <w:rPr>
                <w:rFonts w:hint="default" w:ascii="Times New Roman" w:hAnsi="Times New Roman" w:cs="Times New Roman"/>
                <w:color w:val="auto"/>
                <w:sz w:val="44"/>
                <w:szCs w:val="44"/>
                <w:highlight w:val="none"/>
              </w:rPr>
            </w:pPr>
          </w:p>
          <w:p>
            <w:pPr>
              <w:jc w:val="center"/>
              <w:rPr>
                <w:rFonts w:hint="default" w:ascii="Times New Roman" w:hAnsi="Times New Roman" w:cs="Times New Roman"/>
                <w:color w:val="auto"/>
                <w:sz w:val="44"/>
                <w:szCs w:val="44"/>
                <w:highlight w:val="none"/>
              </w:rPr>
            </w:pPr>
          </w:p>
          <w:p>
            <w:pPr>
              <w:jc w:val="center"/>
              <w:rPr>
                <w:rFonts w:hint="default" w:ascii="Times New Roman" w:hAnsi="Times New Roman" w:cs="Times New Roman"/>
                <w:color w:val="auto"/>
                <w:sz w:val="44"/>
                <w:szCs w:val="44"/>
                <w:highlight w:val="none"/>
              </w:rPr>
            </w:pPr>
          </w:p>
          <w:p>
            <w:pPr>
              <w:jc w:val="center"/>
              <w:rPr>
                <w:rFonts w:hint="default" w:ascii="Times New Roman" w:hAnsi="Times New Roman" w:cs="Times New Roman"/>
                <w:color w:val="auto"/>
                <w:sz w:val="44"/>
                <w:szCs w:val="44"/>
                <w:highlight w:val="none"/>
              </w:rPr>
            </w:pPr>
          </w:p>
          <w:p>
            <w:pPr>
              <w:jc w:val="center"/>
              <w:rPr>
                <w:rFonts w:hint="default" w:ascii="Times New Roman" w:hAnsi="Times New Roman" w:cs="Times New Roman"/>
                <w:color w:val="auto"/>
                <w:sz w:val="44"/>
                <w:szCs w:val="44"/>
                <w:highlight w:val="none"/>
              </w:rPr>
            </w:pPr>
          </w:p>
          <w:p>
            <w:pPr>
              <w:rPr>
                <w:rFonts w:hint="default" w:ascii="Times New Roman" w:hAnsi="Times New Roman" w:cs="Times New Roman"/>
                <w:color w:val="auto"/>
                <w:sz w:val="44"/>
                <w:szCs w:val="44"/>
                <w:highlight w:val="none"/>
              </w:rPr>
            </w:pPr>
          </w:p>
          <w:p>
            <w:pPr>
              <w:rPr>
                <w:rFonts w:hint="default" w:ascii="Times New Roman" w:hAnsi="Times New Roman" w:cs="Times New Roman"/>
                <w:color w:val="auto"/>
                <w:sz w:val="44"/>
                <w:szCs w:val="44"/>
                <w:highlight w:val="none"/>
              </w:rPr>
            </w:pPr>
          </w:p>
          <w:p>
            <w:pPr>
              <w:rPr>
                <w:rFonts w:hint="default" w:ascii="Times New Roman" w:hAnsi="Times New Roman" w:cs="Times New Roman"/>
                <w:color w:val="auto"/>
                <w:sz w:val="44"/>
                <w:szCs w:val="44"/>
                <w:highlight w:val="none"/>
              </w:rPr>
            </w:pPr>
          </w:p>
          <w:p>
            <w:pPr>
              <w:jc w:val="right"/>
              <w:rPr>
                <w:rFonts w:hint="default" w:ascii="Times New Roman" w:hAnsi="Times New Roman" w:cs="Times New Roman"/>
                <w:color w:val="auto"/>
                <w:szCs w:val="44"/>
                <w:highlight w:val="none"/>
              </w:rPr>
            </w:pPr>
            <w:r>
              <w:rPr>
                <w:rFonts w:hint="default" w:ascii="Times New Roman" w:hAnsi="Times New Roman" w:cs="Times New Roman"/>
                <w:color w:val="auto"/>
                <w:sz w:val="30"/>
                <w:szCs w:val="30"/>
                <w:highlight w:val="none"/>
              </w:rPr>
              <w:t>202</w:t>
            </w:r>
            <w:r>
              <w:rPr>
                <w:rFonts w:hint="default" w:ascii="Times New Roman" w:hAnsi="Times New Roman" w:cs="Times New Roman"/>
                <w:color w:val="auto"/>
                <w:sz w:val="30"/>
                <w:szCs w:val="30"/>
                <w:highlight w:val="none"/>
                <w:lang w:val="en-US" w:eastAsia="zh-CN"/>
              </w:rPr>
              <w:t>4</w:t>
            </w:r>
            <w:r>
              <w:rPr>
                <w:rFonts w:hint="default" w:ascii="Times New Roman" w:hAnsi="Times New Roman" w:cs="Times New Roman"/>
                <w:color w:val="auto"/>
                <w:sz w:val="30"/>
                <w:szCs w:val="30"/>
                <w:highlight w:val="none"/>
              </w:rPr>
              <w:t>年</w:t>
            </w:r>
            <w:r>
              <w:rPr>
                <w:rFonts w:hint="default" w:ascii="Times New Roman" w:hAnsi="Times New Roman" w:cs="Times New Roman"/>
                <w:color w:val="auto"/>
                <w:sz w:val="30"/>
                <w:szCs w:val="30"/>
                <w:highlight w:val="none"/>
                <w:lang w:val="en-US" w:eastAsia="zh-CN"/>
              </w:rPr>
              <w:t>05</w:t>
            </w:r>
            <w:r>
              <w:rPr>
                <w:rFonts w:hint="default" w:ascii="Times New Roman" w:hAnsi="Times New Roman" w:cs="Times New Roman"/>
                <w:color w:val="auto"/>
                <w:sz w:val="30"/>
                <w:szCs w:val="30"/>
                <w:highlight w:val="none"/>
              </w:rPr>
              <w:t>月</w:t>
            </w:r>
            <w:r>
              <w:rPr>
                <w:rFonts w:hint="default" w:ascii="Times New Roman" w:hAnsi="Times New Roman" w:cs="Times New Roman"/>
                <w:color w:val="auto"/>
                <w:sz w:val="30"/>
                <w:szCs w:val="30"/>
                <w:highlight w:val="none"/>
                <w:lang w:val="en-US" w:eastAsia="zh-CN"/>
              </w:rPr>
              <w:t>28</w:t>
            </w:r>
            <w:r>
              <w:rPr>
                <w:rFonts w:hint="default" w:ascii="Times New Roman" w:hAnsi="Times New Roman" w:cs="Times New Roman"/>
                <w:color w:val="auto"/>
                <w:sz w:val="30"/>
                <w:szCs w:val="30"/>
                <w:highlight w:val="none"/>
              </w:rPr>
              <w:t>日</w:t>
            </w:r>
          </w:p>
        </w:tc>
      </w:tr>
    </w:tbl>
    <w:p>
      <w:pPr>
        <w:jc w:val="center"/>
        <w:rPr>
          <w:rFonts w:hint="default" w:ascii="Times New Roman" w:hAnsi="Times New Roman" w:cs="Times New Roman"/>
          <w:color w:val="auto"/>
          <w:sz w:val="44"/>
          <w:szCs w:val="44"/>
          <w:highlight w:val="none"/>
        </w:rPr>
      </w:pPr>
      <w:bookmarkStart w:id="4" w:name="_Toc17559"/>
      <w:bookmarkStart w:id="5" w:name="_Toc24625"/>
    </w:p>
    <w:p>
      <w:pPr>
        <w:jc w:val="center"/>
        <w:rPr>
          <w:rFonts w:hint="default" w:ascii="Times New Roman" w:hAnsi="Times New Roman" w:cs="Times New Roman"/>
          <w:color w:val="auto"/>
          <w:sz w:val="44"/>
          <w:szCs w:val="44"/>
          <w:highlight w:val="none"/>
        </w:rPr>
      </w:pPr>
      <w:r>
        <w:rPr>
          <w:rFonts w:hint="default" w:ascii="Times New Roman" w:hAnsi="Times New Roman" w:cs="Times New Roman"/>
          <w:color w:val="auto"/>
          <w:sz w:val="44"/>
          <w:szCs w:val="44"/>
          <w:highlight w:val="none"/>
        </w:rPr>
        <w:t>真实性保证书</w:t>
      </w:r>
      <w:bookmarkEnd w:id="4"/>
      <w:bookmarkEnd w:id="5"/>
    </w:p>
    <w:p>
      <w:pPr>
        <w:ind w:firstLine="640" w:firstLineChars="200"/>
        <w:rPr>
          <w:rFonts w:hint="default" w:ascii="Times New Roman" w:hAnsi="Times New Roman" w:cs="Times New Roman"/>
          <w:color w:val="auto"/>
          <w:sz w:val="32"/>
          <w:szCs w:val="32"/>
          <w:highlight w:val="none"/>
        </w:rPr>
      </w:pPr>
      <w:r>
        <w:rPr>
          <w:rFonts w:hint="default" w:ascii="Times New Roman" w:hAnsi="Times New Roman" w:cs="Times New Roman"/>
          <w:color w:val="auto"/>
          <w:sz w:val="32"/>
          <w:szCs w:val="32"/>
          <w:highlight w:val="none"/>
        </w:rPr>
        <w:t>本单位提交的《建筑节能与绿色建筑设计专篇》，其设计内容、数据真实可靠。如有任何不实，愿承担相应责任。</w:t>
      </w: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sz w:val="30"/>
          <w:szCs w:val="30"/>
          <w:highlight w:val="none"/>
        </w:rPr>
      </w:pPr>
    </w:p>
    <w:p>
      <w:pPr>
        <w:rPr>
          <w:rFonts w:hint="default" w:ascii="Times New Roman" w:hAnsi="Times New Roman" w:eastAsia="宋体" w:cs="Times New Roman"/>
          <w:color w:val="auto"/>
          <w:sz w:val="30"/>
          <w:szCs w:val="30"/>
          <w:highlight w:val="none"/>
          <w:lang w:eastAsia="zh-CN"/>
        </w:rPr>
      </w:pPr>
      <w:bookmarkStart w:id="6" w:name="_Toc10136"/>
      <w:bookmarkStart w:id="7" w:name="_Toc18518"/>
      <w:r>
        <w:rPr>
          <w:rFonts w:hint="default" w:ascii="Times New Roman" w:hAnsi="Times New Roman" w:cs="Times New Roman"/>
          <w:color w:val="auto"/>
          <w:sz w:val="30"/>
          <w:szCs w:val="30"/>
          <w:highlight w:val="none"/>
        </w:rPr>
        <w:t>设计单位（盖章）：</w:t>
      </w:r>
      <w:bookmarkEnd w:id="6"/>
      <w:bookmarkEnd w:id="7"/>
      <w:r>
        <w:rPr>
          <w:rFonts w:hint="default" w:ascii="Times New Roman" w:hAnsi="Times New Roman" w:cs="Times New Roman"/>
          <w:color w:val="auto"/>
          <w:sz w:val="30"/>
          <w:szCs w:val="30"/>
          <w:highlight w:val="none"/>
          <w:lang w:eastAsia="zh-CN"/>
        </w:rPr>
        <w:t>浙江中维建筑工程设计有限公司</w:t>
      </w:r>
    </w:p>
    <w:p>
      <w:pPr>
        <w:rPr>
          <w:rFonts w:hint="default" w:ascii="Times New Roman" w:hAnsi="Times New Roman" w:cs="Times New Roman"/>
          <w:color w:val="auto"/>
          <w:sz w:val="30"/>
          <w:szCs w:val="30"/>
          <w:highlight w:val="none"/>
        </w:rPr>
      </w:pPr>
    </w:p>
    <w:p>
      <w:pPr>
        <w:rPr>
          <w:rFonts w:hint="default" w:ascii="Times New Roman" w:hAnsi="Times New Roman" w:cs="Times New Roman"/>
          <w:color w:val="auto"/>
          <w:sz w:val="30"/>
          <w:szCs w:val="30"/>
          <w:highlight w:val="none"/>
        </w:rPr>
      </w:pPr>
      <w:bookmarkStart w:id="8" w:name="_Toc1644"/>
      <w:bookmarkStart w:id="9" w:name="_Toc4278"/>
      <w:r>
        <w:rPr>
          <w:rFonts w:hint="default" w:ascii="Times New Roman" w:hAnsi="Times New Roman" w:cs="Times New Roman"/>
          <w:color w:val="auto"/>
          <w:sz w:val="30"/>
          <w:szCs w:val="30"/>
          <w:highlight w:val="none"/>
        </w:rPr>
        <w:t>负责人（签名）：</w:t>
      </w:r>
      <w:bookmarkEnd w:id="8"/>
      <w:bookmarkEnd w:id="9"/>
    </w:p>
    <w:p>
      <w:pPr>
        <w:rPr>
          <w:rFonts w:hint="default" w:ascii="Times New Roman" w:hAnsi="Times New Roman" w:cs="Times New Roman"/>
          <w:color w:val="auto"/>
          <w:sz w:val="30"/>
          <w:szCs w:val="30"/>
          <w:highlight w:val="none"/>
        </w:rPr>
      </w:pPr>
    </w:p>
    <w:p>
      <w:pPr>
        <w:jc w:val="right"/>
        <w:rPr>
          <w:rFonts w:hint="default" w:ascii="Times New Roman" w:hAnsi="Times New Roman" w:cs="Times New Roman" w:eastAsiaTheme="minorEastAsia"/>
          <w:color w:val="auto"/>
          <w:sz w:val="30"/>
          <w:szCs w:val="30"/>
          <w:highlight w:val="none"/>
        </w:rPr>
      </w:pPr>
      <w:r>
        <w:rPr>
          <w:rFonts w:hint="default" w:ascii="Times New Roman" w:hAnsi="Times New Roman" w:cs="Times New Roman" w:eastAsiaTheme="minorEastAsia"/>
          <w:color w:val="auto"/>
          <w:sz w:val="30"/>
          <w:szCs w:val="30"/>
          <w:highlight w:val="none"/>
        </w:rPr>
        <w:t>202</w:t>
      </w:r>
      <w:r>
        <w:rPr>
          <w:rFonts w:hint="default" w:ascii="Times New Roman" w:hAnsi="Times New Roman" w:cs="Times New Roman" w:eastAsiaTheme="minorEastAsia"/>
          <w:color w:val="auto"/>
          <w:sz w:val="30"/>
          <w:szCs w:val="30"/>
          <w:highlight w:val="none"/>
          <w:lang w:val="en-US" w:eastAsia="zh-CN"/>
        </w:rPr>
        <w:t>4</w:t>
      </w:r>
      <w:r>
        <w:rPr>
          <w:rFonts w:hint="default" w:ascii="Times New Roman" w:hAnsi="Times New Roman" w:cs="Times New Roman" w:eastAsiaTheme="minorEastAsia"/>
          <w:color w:val="auto"/>
          <w:sz w:val="30"/>
          <w:szCs w:val="30"/>
          <w:highlight w:val="none"/>
        </w:rPr>
        <w:t>年</w:t>
      </w:r>
      <w:r>
        <w:rPr>
          <w:rFonts w:hint="default" w:ascii="Times New Roman" w:hAnsi="Times New Roman" w:cs="Times New Roman" w:eastAsiaTheme="minorEastAsia"/>
          <w:color w:val="auto"/>
          <w:sz w:val="30"/>
          <w:szCs w:val="30"/>
          <w:highlight w:val="none"/>
        </w:rPr>
        <w:t>0</w:t>
      </w:r>
      <w:r>
        <w:rPr>
          <w:rFonts w:hint="default" w:ascii="Times New Roman" w:hAnsi="Times New Roman" w:cs="Times New Roman" w:eastAsiaTheme="minorEastAsia"/>
          <w:color w:val="auto"/>
          <w:sz w:val="30"/>
          <w:szCs w:val="30"/>
          <w:highlight w:val="none"/>
          <w:lang w:val="en-US" w:eastAsia="zh-CN"/>
        </w:rPr>
        <w:t>5</w:t>
      </w:r>
      <w:r>
        <w:rPr>
          <w:rFonts w:hint="default" w:ascii="Times New Roman" w:hAnsi="Times New Roman" w:cs="Times New Roman" w:eastAsiaTheme="minorEastAsia"/>
          <w:color w:val="auto"/>
          <w:sz w:val="30"/>
          <w:szCs w:val="30"/>
          <w:highlight w:val="none"/>
        </w:rPr>
        <w:t>月</w:t>
      </w:r>
      <w:r>
        <w:rPr>
          <w:rFonts w:hint="default" w:ascii="Times New Roman" w:hAnsi="Times New Roman" w:cs="Times New Roman" w:eastAsiaTheme="minorEastAsia"/>
          <w:color w:val="auto"/>
          <w:sz w:val="30"/>
          <w:szCs w:val="30"/>
          <w:highlight w:val="none"/>
          <w:lang w:val="en-US" w:eastAsia="zh-CN"/>
        </w:rPr>
        <w:t>28</w:t>
      </w:r>
      <w:r>
        <w:rPr>
          <w:rFonts w:hint="default" w:ascii="Times New Roman" w:hAnsi="Times New Roman" w:cs="Times New Roman" w:eastAsiaTheme="minorEastAsia"/>
          <w:color w:val="auto"/>
          <w:sz w:val="30"/>
          <w:szCs w:val="30"/>
          <w:highlight w:val="none"/>
        </w:rPr>
        <w:t>日</w:t>
      </w: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sdt>
      <w:sdtPr>
        <w:rPr>
          <w:rFonts w:hint="default" w:ascii="Times New Roman" w:hAnsi="Times New Roman" w:cs="Times New Roman"/>
          <w:color w:val="auto"/>
          <w:highlight w:val="none"/>
        </w:rPr>
        <w:id w:val="147474121"/>
        <w:docPartObj>
          <w:docPartGallery w:val="Table of Contents"/>
          <w:docPartUnique/>
        </w:docPartObj>
      </w:sdtPr>
      <w:sdtEndPr>
        <w:rPr>
          <w:rFonts w:hint="default" w:ascii="Times New Roman" w:hAnsi="Times New Roman" w:cs="Times New Roman"/>
          <w:b/>
          <w:color w:val="auto"/>
          <w:szCs w:val="24"/>
          <w:highlight w:val="none"/>
        </w:rPr>
      </w:sdtEndPr>
      <w:sdtContent>
        <w:p>
          <w:pPr>
            <w:jc w:val="center"/>
            <w:rPr>
              <w:rFonts w:hint="default" w:ascii="Times New Roman" w:hAnsi="Times New Roman" w:cs="Times New Roman"/>
              <w:b/>
              <w:bCs/>
              <w:color w:val="auto"/>
              <w:sz w:val="28"/>
              <w:szCs w:val="28"/>
              <w:highlight w:val="none"/>
            </w:rPr>
          </w:pPr>
          <w:r>
            <w:rPr>
              <w:rFonts w:hint="default" w:ascii="Times New Roman" w:hAnsi="Times New Roman" w:cs="Times New Roman"/>
              <w:b/>
              <w:bCs/>
              <w:color w:val="auto"/>
              <w:sz w:val="28"/>
              <w:szCs w:val="28"/>
              <w:highlight w:val="none"/>
            </w:rPr>
            <w:t>目录</w:t>
          </w:r>
        </w:p>
        <w:p>
          <w:pPr>
            <w:pStyle w:val="10"/>
            <w:tabs>
              <w:tab w:val="left" w:pos="42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sz w:val="24"/>
              <w:szCs w:val="24"/>
              <w:highlight w:val="none"/>
            </w:rPr>
            <w:fldChar w:fldCharType="begin"/>
          </w:r>
          <w:r>
            <w:rPr>
              <w:rFonts w:hint="default" w:ascii="Times New Roman" w:hAnsi="Times New Roman" w:cs="Times New Roman"/>
              <w:color w:val="auto"/>
              <w:sz w:val="24"/>
              <w:szCs w:val="24"/>
              <w:highlight w:val="none"/>
            </w:rPr>
            <w:instrText xml:space="preserve">TOC \o "1-2" \h \u </w:instrText>
          </w:r>
          <w:r>
            <w:rPr>
              <w:rFonts w:hint="default" w:ascii="Times New Roman" w:hAnsi="Times New Roman" w:cs="Times New Roman"/>
              <w:color w:val="auto"/>
              <w:sz w:val="24"/>
              <w:szCs w:val="24"/>
              <w:highlight w:val="none"/>
            </w:rPr>
            <w:fldChar w:fldCharType="separate"/>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"_Toc124520223"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1</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项目概况</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_Toc124520223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5</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"_Toc124520224"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1.1</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项目基本信息</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_Toc124520224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5</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"_Toc124520225"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1.2</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建设、设计单位信息</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_Toc124520225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5</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"_Toc124520226"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1.3</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项目总平面图</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_Toc124520226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6</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"_Toc124520227"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1.4</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项目效果图</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_Toc124520227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7</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0"/>
            <w:tabs>
              <w:tab w:val="left" w:pos="42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"_Toc124520228"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2</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总平面设计</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_Toc124520228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8</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"_Toc124520229"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3.1</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场地安全性能</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_Toc124520229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8</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0"/>
            <w:tabs>
              <w:tab w:val="left" w:pos="42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"_Toc124520230"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3</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项目政策符合性判断</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_Toc124520230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8</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"_Toc124520231"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2.1</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绿色建筑</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_Toc124520231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8</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"_Toc124520232"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2.2</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可再生能源利用</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_Toc124520232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8</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"_Toc124520233"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3.2</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场地资源利用</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_Toc124520233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9</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"_Toc124520234"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3.3</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室外光环境</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_Toc124520234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11</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"_Toc124520235"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3.4</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室外风环境</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_Toc124520235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12</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"_Toc124520236"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3.5</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室外热环境（不得分）</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_Toc124520236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13</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"_Toc124520237"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3.6</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室外声环境</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_Toc124520237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14</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"_Toc124520238"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3.7</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场地绿化</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_Toc124520238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14</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"_Toc124520239"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3.8</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环境宜居</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_Toc124520239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15</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"_Toc124520240"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3.9</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场地对外交通</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_Toc124520240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15</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26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"_Toc124520241"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3.10</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公共服务</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_Toc124520241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16</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0"/>
            <w:tabs>
              <w:tab w:val="left" w:pos="42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"_Toc124520242"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4</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建筑设计</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_Toc124520242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17</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"_Toc124520243"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4.1</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建筑空间布局</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_Toc124520243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17</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"_Toc124520244"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4.2</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围护结构热工</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_Toc124520244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17</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"_Toc124520245"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4.3</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建筑造型要素</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_Toc124520245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20</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"_Toc124520246"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4.4</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建筑光环境</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_Toc124520246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21</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"_Toc124520247"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4.5</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建筑风环境</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_Toc124520247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22</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"_Toc124520248"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4.6</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建筑声环境</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_Toc124520248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22</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"_Toc124520249"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4.7</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无障碍设计</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_Toc124520249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25</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"_Toc124520250"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4.8</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安全耐久</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_Toc124520250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25</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"_Toc124520251"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4.9</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室内标识</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_Toc124520251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30</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26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"_Toc124520252"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4.10</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室内空气</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_Toc124520252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30</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26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"_Toc124520253"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4.11</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一体化设计</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_Toc124520253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30</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0"/>
            <w:tabs>
              <w:tab w:val="left" w:pos="42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"_Toc124520254"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5</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结构设计与建筑材料</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_Toc124520254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31</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"_Toc124520255"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5.1</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结构设计</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_Toc124520255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31</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"_Toc124520256"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5.2</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建筑材料</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_Toc124520256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33</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0"/>
            <w:tabs>
              <w:tab w:val="left" w:pos="42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"_Toc124520257"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6</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给排水设计</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_Toc124520257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37</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"_Toc124520258"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6.1</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水资源利用方案</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_Toc124520258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37</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"_Toc124520259"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6.2</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系统设计</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_Toc124520259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38</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"_Toc124520260"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6.3</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节水设计</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_Toc124520260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41</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"_Toc124520261"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6.4</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非传统水源利用</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_Toc124520261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44</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0"/>
            <w:tabs>
              <w:tab w:val="left" w:pos="42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"_Toc124520262"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7</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暖通空调设计</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_Toc124520262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45</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"_Toc124520263"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7.1</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污染物排放</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_Toc124520263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45</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"_Toc124520264"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7.2</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空调系统</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_Toc124520264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46</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"_Toc124520265"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7.3</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输配系统与末端用能设备</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_Toc124520265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51</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"_Toc124520266"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7.4</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水系统</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_Toc124520266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53</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"_Toc124520267"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7.5</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风系统</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_Toc124520267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54</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"_Toc124520268"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7.6</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监测、控制</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_Toc124520268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55</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"_Toc124520269"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7.7</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其他设计要求</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_Toc124520269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57</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0"/>
            <w:tabs>
              <w:tab w:val="left" w:pos="42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"_Toc124520270"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8</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建筑电气设计</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_Toc124520270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59</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"_Toc124520271"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8.1</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供配电系统</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_Toc124520271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59</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"_Toc124520272"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8.2</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照明</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_Toc124520272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60</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"_Toc124520273"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8.3</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动力系统</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_Toc124520273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62</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"_Toc124520274"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8.4</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智能化</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_Toc124520274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63</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0"/>
            <w:tabs>
              <w:tab w:val="left" w:pos="42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"_Toc124520275"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9</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可再生能源</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_Toc124520275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70</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"_Toc124520276"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9.1</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可再生能源种类</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_Toc124520276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70</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05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"_Toc124520277"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9.2</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可再生能源应用量</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_Toc124520277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70</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0"/>
            <w:tabs>
              <w:tab w:val="left" w:pos="63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"_Toc124520278"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10</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建筑碳排放分析</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_Toc124520278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71</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26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"_Toc124520279"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10.1</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建筑碳排放来源</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_Toc124520279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71</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pStyle w:val="11"/>
            <w:tabs>
              <w:tab w:val="left" w:pos="1260"/>
              <w:tab w:val="right" w:leader="dot" w:pos="8296"/>
            </w:tabs>
            <w:rPr>
              <w:rFonts w:hint="default" w:ascii="Times New Roman" w:hAnsi="Times New Roman" w:cs="Times New Roman" w:eastAsiaTheme="minorEastAsia"/>
              <w:color w:val="auto"/>
              <w:highlight w:val="none"/>
            </w:rPr>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\l "_Toc124520280" </w:instrText>
          </w:r>
          <w:r>
            <w:rPr>
              <w:rFonts w:hint="default" w:ascii="Times New Roman" w:hAnsi="Times New Roman" w:cs="Times New Roman"/>
              <w:color w:val="auto"/>
              <w:highlight w:val="none"/>
            </w:rPr>
            <w:fldChar w:fldCharType="separate"/>
          </w:r>
          <w:r>
            <w:rPr>
              <w:rStyle w:val="18"/>
              <w:rFonts w:hint="default" w:ascii="Times New Roman" w:hAnsi="Times New Roman" w:cs="Times New Roman"/>
              <w:color w:val="auto"/>
              <w:highlight w:val="none"/>
            </w:rPr>
            <w:t>10.2</w:t>
          </w:r>
          <w:r>
            <w:rPr>
              <w:rFonts w:hint="default" w:ascii="Times New Roman" w:hAnsi="Times New Roman" w:cs="Times New Roman" w:eastAsiaTheme="minorEastAsia"/>
              <w:color w:val="auto"/>
              <w:highlight w:val="none"/>
            </w:rPr>
            <w:tab/>
          </w:r>
          <w:r>
            <w:rPr>
              <w:rStyle w:val="18"/>
              <w:rFonts w:hint="default" w:ascii="Times New Roman" w:hAnsi="Times New Roman" w:cs="Times New Roman"/>
              <w:color w:val="auto"/>
              <w:highlight w:val="none"/>
            </w:rPr>
            <w:t>建筑碳排放强度（运行阶段）</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PAGEREF _Toc124520280 \h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71</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fldChar w:fldCharType="end"/>
          </w:r>
        </w:p>
        <w:p>
          <w:pPr>
            <w:spacing w:line="336" w:lineRule="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fldChar w:fldCharType="end"/>
          </w:r>
        </w:p>
      </w:sdtContent>
    </w:sdt>
    <w:p>
      <w:pPr>
        <w:spacing w:line="360" w:lineRule="auto"/>
        <w:rPr>
          <w:rFonts w:hint="default" w:ascii="Times New Roman" w:hAnsi="Times New Roman" w:cs="Times New Roman"/>
          <w:color w:val="auto"/>
          <w:sz w:val="24"/>
          <w:szCs w:val="24"/>
          <w:highlight w:val="none"/>
        </w:rPr>
      </w:pPr>
    </w:p>
    <w:p>
      <w:pPr>
        <w:rPr>
          <w:rFonts w:hint="default" w:ascii="Times New Roman" w:hAnsi="Times New Roman" w:cs="Times New Roman"/>
          <w:color w:val="auto"/>
          <w:sz w:val="24"/>
          <w:szCs w:val="24"/>
          <w:highlight w:val="none"/>
        </w:rPr>
      </w:pPr>
    </w:p>
    <w:p>
      <w:pPr>
        <w:pStyle w:val="3"/>
        <w:numPr>
          <w:ilvl w:val="0"/>
          <w:numId w:val="1"/>
        </w:numPr>
        <w:spacing w:after="156"/>
        <w:rPr>
          <w:rStyle w:val="22"/>
          <w:rFonts w:hint="default" w:ascii="Times New Roman" w:hAnsi="Times New Roman" w:cs="Times New Roman"/>
          <w:b/>
          <w:color w:val="auto"/>
          <w:highlight w:val="none"/>
        </w:rPr>
        <w:sectPr>
          <w:footerReference r:id="rId3" w:type="default"/>
          <w:pgSz w:w="11906" w:h="16838"/>
          <w:pgMar w:top="1440" w:right="1800" w:bottom="1440" w:left="1800" w:header="851" w:footer="992" w:gutter="0"/>
          <w:pgNumType w:start="1"/>
          <w:cols w:space="720" w:num="1"/>
          <w:docGrid w:type="lines" w:linePitch="312" w:charSpace="0"/>
        </w:sectPr>
      </w:pPr>
      <w:bookmarkStart w:id="158" w:name="_GoBack"/>
      <w:bookmarkEnd w:id="158"/>
      <w:bookmarkStart w:id="10" w:name="_Toc6105"/>
    </w:p>
    <w:p>
      <w:pPr>
        <w:pStyle w:val="2"/>
        <w:numPr>
          <w:ilvl w:val="0"/>
          <w:numId w:val="1"/>
        </w:numPr>
        <w:spacing w:before="156" w:after="156"/>
        <w:rPr>
          <w:rFonts w:hint="default" w:ascii="Times New Roman" w:hAnsi="Times New Roman" w:cs="Times New Roman"/>
          <w:color w:val="auto"/>
          <w:highlight w:val="none"/>
        </w:rPr>
      </w:pPr>
      <w:bookmarkStart w:id="11" w:name="_Toc124520223"/>
      <w:r>
        <w:rPr>
          <w:rFonts w:hint="default" w:ascii="Times New Roman" w:hAnsi="Times New Roman" w:cs="Times New Roman"/>
          <w:color w:val="auto"/>
          <w:highlight w:val="none"/>
        </w:rPr>
        <w:t>项目概况</w:t>
      </w:r>
      <w:bookmarkEnd w:id="10"/>
      <w:bookmarkEnd w:id="11"/>
    </w:p>
    <w:p>
      <w:pPr>
        <w:pStyle w:val="3"/>
        <w:numPr>
          <w:ilvl w:val="0"/>
          <w:numId w:val="2"/>
        </w:numPr>
        <w:spacing w:after="156"/>
        <w:rPr>
          <w:rFonts w:hint="default" w:ascii="Times New Roman" w:hAnsi="Times New Roman" w:cs="Times New Roman"/>
          <w:color w:val="auto"/>
          <w:highlight w:val="none"/>
        </w:rPr>
      </w:pPr>
      <w:bookmarkStart w:id="12" w:name="_Toc29145"/>
      <w:bookmarkStart w:id="13" w:name="_Toc124520224"/>
      <w:r>
        <w:rPr>
          <w:rFonts w:hint="default" w:ascii="Times New Roman" w:hAnsi="Times New Roman" w:cs="Times New Roman"/>
          <w:color w:val="auto"/>
          <w:highlight w:val="none"/>
        </w:rPr>
        <w:t>项目基本信息</w:t>
      </w:r>
      <w:bookmarkEnd w:id="12"/>
      <w:bookmarkEnd w:id="13"/>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2"/>
        <w:gridCol w:w="1920"/>
        <w:gridCol w:w="1211"/>
        <w:gridCol w:w="37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05" w:type="dxa"/>
            <w:gridSpan w:val="4"/>
            <w:shd w:val="clear" w:color="auto" w:fill="9FD3A4"/>
          </w:tcPr>
          <w:p>
            <w:pPr>
              <w:spacing w:line="360" w:lineRule="auto"/>
              <w:rPr>
                <w:rFonts w:hint="default" w:ascii="Times New Roman" w:hAnsi="Times New Roman" w:cs="Times New Roman"/>
                <w:b/>
                <w:color w:val="auto"/>
                <w:kern w:val="0"/>
                <w:sz w:val="20"/>
                <w:szCs w:val="21"/>
                <w:highlight w:val="none"/>
              </w:rPr>
            </w:pPr>
            <w:r>
              <w:rPr>
                <w:rFonts w:hint="default" w:ascii="Times New Roman" w:hAnsi="Times New Roman" w:cs="Times New Roman"/>
                <w:b/>
                <w:color w:val="auto"/>
                <w:kern w:val="0"/>
                <w:szCs w:val="21"/>
                <w:highlight w:val="none"/>
              </w:rPr>
              <w:t>项目基本信息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项目名称</w:t>
            </w:r>
          </w:p>
        </w:tc>
        <w:tc>
          <w:tcPr>
            <w:tcW w:w="6923" w:type="dxa"/>
            <w:gridSpan w:val="3"/>
            <w:vAlign w:val="center"/>
          </w:tcPr>
          <w:p>
            <w:pPr>
              <w:spacing w:line="360" w:lineRule="auto"/>
              <w:jc w:val="center"/>
              <w:rPr>
                <w:rFonts w:hint="default" w:ascii="Times New Roman" w:hAnsi="Times New Roman" w:eastAsia="宋体" w:cs="Times New Roman"/>
                <w:color w:val="auto"/>
                <w:kern w:val="0"/>
                <w:szCs w:val="21"/>
                <w:highlight w:val="none"/>
                <w:lang w:eastAsia="zh-CN"/>
              </w:rPr>
            </w:pPr>
            <w:r>
              <w:rPr>
                <w:rFonts w:hint="default" w:ascii="Times New Roman" w:hAnsi="Times New Roman" w:cs="Times New Roman"/>
                <w:color w:val="auto"/>
                <w:kern w:val="0"/>
                <w:szCs w:val="21"/>
                <w:highlight w:val="none"/>
                <w:lang w:eastAsia="zh-CN"/>
              </w:rPr>
              <w:t>瑞安市云周中学扩建综合教学楼工程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建筑面积（㎡）</w:t>
            </w:r>
          </w:p>
        </w:tc>
        <w:tc>
          <w:tcPr>
            <w:tcW w:w="1920" w:type="dxa"/>
            <w:vAlign w:val="center"/>
          </w:tcPr>
          <w:p>
            <w:pPr>
              <w:spacing w:line="360" w:lineRule="auto"/>
              <w:jc w:val="center"/>
              <w:rPr>
                <w:rFonts w:hint="default" w:ascii="Times New Roman" w:hAnsi="Times New Roman" w:cs="Times New Roman"/>
                <w:color w:val="auto"/>
                <w:kern w:val="0"/>
                <w:szCs w:val="21"/>
                <w:highlight w:val="none"/>
                <w:lang w:eastAsia="zh-CN"/>
              </w:rPr>
            </w:pPr>
            <w:r>
              <w:rPr>
                <w:rFonts w:hint="default" w:ascii="Times New Roman" w:hAnsi="Times New Roman" w:cs="Times New Roman"/>
                <w:color w:val="auto"/>
                <w:kern w:val="0"/>
                <w:szCs w:val="21"/>
                <w:highlight w:val="none"/>
                <w:lang w:eastAsia="zh-CN"/>
              </w:rPr>
              <w:t>3771.82</w:t>
            </w:r>
          </w:p>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lang w:val="en-US" w:eastAsia="zh-CN"/>
              </w:rPr>
              <w:t>新建建筑</w:t>
            </w:r>
            <w:r>
              <w:rPr>
                <w:rFonts w:hint="default" w:ascii="Times New Roman" w:hAnsi="Times New Roman" w:cs="Times New Roman"/>
                <w:color w:val="auto"/>
                <w:kern w:val="0"/>
                <w:szCs w:val="21"/>
                <w:highlight w:val="none"/>
                <w:lang w:eastAsia="zh-CN"/>
              </w:rPr>
              <w:t>）</w:t>
            </w:r>
          </w:p>
        </w:tc>
        <w:tc>
          <w:tcPr>
            <w:tcW w:w="12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计容建筑面积（㎡）</w:t>
            </w:r>
          </w:p>
        </w:tc>
        <w:tc>
          <w:tcPr>
            <w:tcW w:w="3792" w:type="dxa"/>
            <w:vAlign w:val="center"/>
          </w:tcPr>
          <w:p>
            <w:pPr>
              <w:spacing w:line="360" w:lineRule="auto"/>
              <w:jc w:val="center"/>
              <w:rPr>
                <w:rFonts w:hint="default" w:ascii="Times New Roman" w:hAnsi="Times New Roman" w:cs="Times New Roman"/>
                <w:color w:val="auto"/>
                <w:kern w:val="0"/>
                <w:szCs w:val="21"/>
                <w:highlight w:val="none"/>
                <w:lang w:eastAsia="zh-CN"/>
              </w:rPr>
            </w:pPr>
            <w:r>
              <w:rPr>
                <w:rFonts w:hint="default" w:ascii="Times New Roman" w:hAnsi="Times New Roman" w:cs="Times New Roman"/>
                <w:color w:val="auto"/>
                <w:kern w:val="0"/>
                <w:szCs w:val="21"/>
                <w:highlight w:val="none"/>
                <w:lang w:eastAsia="zh-CN"/>
              </w:rPr>
              <w:t>3771.82</w:t>
            </w:r>
          </w:p>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lang w:val="en-US" w:eastAsia="zh-CN"/>
              </w:rPr>
              <w:t>新建建筑</w:t>
            </w:r>
            <w:r>
              <w:rPr>
                <w:rFonts w:hint="default" w:ascii="Times New Roman" w:hAnsi="Times New Roman" w:cs="Times New Roman"/>
                <w:color w:val="auto"/>
                <w:kern w:val="0"/>
                <w:szCs w:val="21"/>
                <w:highlight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投资主体</w:t>
            </w:r>
          </w:p>
        </w:tc>
        <w:tc>
          <w:tcPr>
            <w:tcW w:w="6923" w:type="dxa"/>
            <w:gridSpan w:val="3"/>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■政府投资或以政府投资为主□社会投资</w:t>
            </w:r>
          </w:p>
        </w:tc>
      </w:tr>
    </w:tbl>
    <w:p>
      <w:pPr>
        <w:rPr>
          <w:rFonts w:hint="default" w:ascii="Times New Roman" w:hAnsi="Times New Roman" w:cs="Times New Roman"/>
          <w:color w:val="auto"/>
          <w:highlight w:val="none"/>
        </w:rPr>
      </w:pPr>
    </w:p>
    <w:p>
      <w:pPr>
        <w:pStyle w:val="3"/>
        <w:numPr>
          <w:ilvl w:val="0"/>
          <w:numId w:val="2"/>
        </w:numPr>
        <w:spacing w:after="156"/>
        <w:rPr>
          <w:rFonts w:hint="default" w:ascii="Times New Roman" w:hAnsi="Times New Roman" w:cs="Times New Roman"/>
          <w:color w:val="auto"/>
          <w:highlight w:val="none"/>
        </w:rPr>
      </w:pPr>
      <w:bookmarkStart w:id="14" w:name="_Toc18206"/>
      <w:bookmarkStart w:id="15" w:name="_Toc124520225"/>
      <w:r>
        <w:rPr>
          <w:rFonts w:hint="default" w:ascii="Times New Roman" w:hAnsi="Times New Roman" w:cs="Times New Roman"/>
          <w:color w:val="auto"/>
          <w:highlight w:val="none"/>
        </w:rPr>
        <w:t>建设、设计单位信息</w:t>
      </w:r>
      <w:bookmarkEnd w:id="14"/>
      <w:bookmarkEnd w:id="15"/>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2"/>
        <w:gridCol w:w="2307"/>
        <w:gridCol w:w="1075"/>
        <w:gridCol w:w="35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shd w:val="clear" w:color="auto" w:fill="9FD3A4"/>
          </w:tcPr>
          <w:p>
            <w:pPr>
              <w:spacing w:line="360" w:lineRule="auto"/>
              <w:rPr>
                <w:rFonts w:hint="default" w:ascii="Times New Roman" w:hAnsi="Times New Roman" w:cs="Times New Roman"/>
                <w:b/>
                <w:color w:val="auto"/>
                <w:kern w:val="0"/>
                <w:sz w:val="20"/>
                <w:szCs w:val="21"/>
                <w:highlight w:val="none"/>
              </w:rPr>
            </w:pPr>
            <w:r>
              <w:rPr>
                <w:rFonts w:hint="default" w:ascii="Times New Roman" w:hAnsi="Times New Roman" w:cs="Times New Roman"/>
                <w:b/>
                <w:color w:val="auto"/>
                <w:kern w:val="0"/>
                <w:szCs w:val="21"/>
                <w:highlight w:val="none"/>
              </w:rPr>
              <w:t>建设、设计单位信息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建设单位</w:t>
            </w:r>
          </w:p>
        </w:tc>
        <w:tc>
          <w:tcPr>
            <w:tcW w:w="6923" w:type="dxa"/>
            <w:gridSpan w:val="3"/>
          </w:tcPr>
          <w:p>
            <w:pPr>
              <w:spacing w:line="360" w:lineRule="auto"/>
              <w:jc w:val="center"/>
              <w:rPr>
                <w:rFonts w:hint="default" w:ascii="Times New Roman" w:hAnsi="Times New Roman" w:eastAsia="宋体" w:cs="Times New Roman"/>
                <w:color w:val="auto"/>
                <w:kern w:val="0"/>
                <w:szCs w:val="21"/>
                <w:highlight w:val="none"/>
                <w:lang w:eastAsia="zh-CN"/>
              </w:rPr>
            </w:pPr>
            <w:r>
              <w:rPr>
                <w:rFonts w:hint="default" w:ascii="Times New Roman" w:hAnsi="Times New Roman" w:cs="Times New Roman"/>
                <w:color w:val="auto"/>
                <w:kern w:val="0"/>
                <w:szCs w:val="21"/>
                <w:highlight w:val="none"/>
                <w:lang w:eastAsia="zh-CN"/>
              </w:rPr>
              <w:t>瑞安市云周中学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联系人</w:t>
            </w:r>
          </w:p>
        </w:tc>
        <w:tc>
          <w:tcPr>
            <w:tcW w:w="230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7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联系电话</w:t>
            </w:r>
          </w:p>
        </w:tc>
        <w:tc>
          <w:tcPr>
            <w:tcW w:w="354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设计单位</w:t>
            </w:r>
          </w:p>
        </w:tc>
        <w:tc>
          <w:tcPr>
            <w:tcW w:w="6923" w:type="dxa"/>
            <w:gridSpan w:val="3"/>
          </w:tcPr>
          <w:p>
            <w:pPr>
              <w:spacing w:line="360" w:lineRule="auto"/>
              <w:jc w:val="center"/>
              <w:rPr>
                <w:rFonts w:hint="default" w:ascii="Times New Roman" w:hAnsi="Times New Roman" w:eastAsia="宋体" w:cs="Times New Roman"/>
                <w:color w:val="auto"/>
                <w:kern w:val="0"/>
                <w:szCs w:val="21"/>
                <w:highlight w:val="none"/>
                <w:lang w:eastAsia="zh-CN"/>
              </w:rPr>
            </w:pPr>
            <w:r>
              <w:rPr>
                <w:rFonts w:hint="default" w:ascii="Times New Roman" w:hAnsi="Times New Roman" w:cs="Times New Roman"/>
                <w:color w:val="auto"/>
                <w:kern w:val="0"/>
                <w:szCs w:val="21"/>
                <w:highlight w:val="none"/>
                <w:lang w:eastAsia="zh-CN"/>
              </w:rPr>
              <w:t>浙江中维建筑工程设计有限公司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联系人</w:t>
            </w:r>
          </w:p>
        </w:tc>
        <w:tc>
          <w:tcPr>
            <w:tcW w:w="230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缪张逸</w:t>
            </w:r>
          </w:p>
        </w:tc>
        <w:tc>
          <w:tcPr>
            <w:tcW w:w="107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联系电话</w:t>
            </w:r>
          </w:p>
        </w:tc>
        <w:tc>
          <w:tcPr>
            <w:tcW w:w="3541" w:type="dxa"/>
          </w:tcPr>
          <w:p>
            <w:pPr>
              <w:spacing w:line="360" w:lineRule="auto"/>
              <w:jc w:val="center"/>
              <w:rPr>
                <w:rFonts w:hint="default" w:ascii="Times New Roman" w:hAnsi="Times New Roman" w:cs="Times New Roman"/>
                <w:b/>
                <w:color w:val="auto"/>
                <w:kern w:val="0"/>
                <w:sz w:val="20"/>
                <w:szCs w:val="21"/>
                <w:highlight w:val="none"/>
              </w:rPr>
            </w:pPr>
            <w:r>
              <w:rPr>
                <w:rFonts w:hint="default" w:ascii="Times New Roman" w:hAnsi="Times New Roman" w:cs="Times New Roman"/>
                <w:color w:val="auto"/>
                <w:kern w:val="0"/>
                <w:szCs w:val="21"/>
                <w:highlight w:val="none"/>
              </w:rPr>
              <w:t>/</w:t>
            </w:r>
          </w:p>
        </w:tc>
      </w:tr>
    </w:tbl>
    <w:p>
      <w:pPr>
        <w:rPr>
          <w:rFonts w:hint="default" w:ascii="Times New Roman" w:hAnsi="Times New Roman" w:cs="Times New Roman"/>
          <w:color w:val="auto"/>
          <w:highlight w:val="none"/>
        </w:rPr>
      </w:pPr>
    </w:p>
    <w:p>
      <w:pPr>
        <w:pStyle w:val="3"/>
        <w:numPr>
          <w:ilvl w:val="0"/>
          <w:numId w:val="2"/>
        </w:numPr>
        <w:spacing w:after="156"/>
        <w:rPr>
          <w:rFonts w:hint="default" w:ascii="Times New Roman" w:hAnsi="Times New Roman" w:cs="Times New Roman"/>
          <w:color w:val="auto"/>
          <w:highlight w:val="none"/>
        </w:rPr>
      </w:pPr>
      <w:bookmarkStart w:id="16" w:name="_Toc124520226"/>
      <w:bookmarkStart w:id="17" w:name="_Toc8307"/>
      <w:r>
        <w:rPr>
          <w:rFonts w:hint="default" w:ascii="Times New Roman" w:hAnsi="Times New Roman" w:cs="Times New Roman"/>
          <w:color w:val="auto"/>
          <w:highlight w:val="none"/>
        </w:rPr>
        <w:t>项目总平面图</w:t>
      </w:r>
      <w:bookmarkEnd w:id="16"/>
      <w:bookmarkEnd w:id="17"/>
    </w:p>
    <w:p>
      <w:pPr>
        <w:rPr>
          <w:rFonts w:hint="default" w:ascii="Times New Roman" w:hAnsi="Times New Roman" w:cs="Times New Roman"/>
          <w:color w:val="auto"/>
          <w:highlight w:val="none"/>
        </w:rPr>
      </w:pPr>
      <w:r>
        <w:rPr>
          <w:rFonts w:hint="default" w:ascii="Times New Roman" w:hAnsi="Times New Roman" w:cs="Times New Roman"/>
          <w:color w:val="auto"/>
        </w:rPr>
        <w:drawing>
          <wp:inline distT="0" distB="0" distL="114300" distR="114300">
            <wp:extent cx="5271770" cy="4279265"/>
            <wp:effectExtent l="0" t="0" r="508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5271770" cy="4279265"/>
                    </a:xfrm>
                    <a:prstGeom prst="rect">
                      <a:avLst/>
                    </a:prstGeom>
                    <a:noFill/>
                    <a:ln>
                      <a:noFill/>
                    </a:ln>
                  </pic:spPr>
                </pic:pic>
              </a:graphicData>
            </a:graphic>
          </wp:inline>
        </w:drawing>
      </w:r>
    </w:p>
    <w:p>
      <w:pPr>
        <w:pStyle w:val="3"/>
        <w:numPr>
          <w:ilvl w:val="0"/>
          <w:numId w:val="2"/>
        </w:numPr>
        <w:spacing w:after="156"/>
        <w:rPr>
          <w:rFonts w:hint="default" w:ascii="Times New Roman" w:hAnsi="Times New Roman" w:cs="Times New Roman"/>
          <w:color w:val="auto"/>
          <w:highlight w:val="none"/>
        </w:rPr>
      </w:pPr>
      <w:bookmarkStart w:id="18" w:name="_Toc16440"/>
      <w:bookmarkStart w:id="19" w:name="_Toc124520227"/>
      <w:r>
        <w:rPr>
          <w:rFonts w:hint="default" w:ascii="Times New Roman" w:hAnsi="Times New Roman" w:cs="Times New Roman"/>
          <w:color w:val="auto"/>
          <w:highlight w:val="none"/>
        </w:rPr>
        <w:t>项目效果图</w:t>
      </w:r>
      <w:bookmarkEnd w:id="18"/>
      <w:bookmarkEnd w:id="19"/>
    </w:p>
    <w:p>
      <w:pPr>
        <w:rPr>
          <w:rFonts w:hint="default" w:ascii="Times New Roman" w:hAnsi="Times New Roman" w:cs="Times New Roman"/>
          <w:color w:val="auto"/>
          <w:highlight w:val="none"/>
        </w:rPr>
      </w:pPr>
      <w:r>
        <w:rPr>
          <w:rFonts w:hint="default" w:ascii="Times New Roman" w:hAnsi="Times New Roman" w:cs="Times New Roman"/>
          <w:color w:val="auto"/>
        </w:rPr>
        <w:drawing>
          <wp:inline distT="0" distB="0" distL="114300" distR="114300">
            <wp:extent cx="5273675" cy="3580765"/>
            <wp:effectExtent l="0" t="0" r="317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273675" cy="3580765"/>
                    </a:xfrm>
                    <a:prstGeom prst="rect">
                      <a:avLst/>
                    </a:prstGeom>
                    <a:noFill/>
                    <a:ln>
                      <a:noFill/>
                    </a:ln>
                  </pic:spPr>
                </pic:pic>
              </a:graphicData>
            </a:graphic>
          </wp:inline>
        </w:drawing>
      </w: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r>
        <w:rPr>
          <w:rFonts w:hint="default" w:ascii="Times New Roman" w:hAnsi="Times New Roman" w:cs="Times New Roman"/>
          <w:color w:val="auto"/>
        </w:rPr>
        <w:drawing>
          <wp:inline distT="0" distB="0" distL="114300" distR="114300">
            <wp:extent cx="5268595" cy="3745865"/>
            <wp:effectExtent l="0" t="0" r="8255"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5268595" cy="3745865"/>
                    </a:xfrm>
                    <a:prstGeom prst="rect">
                      <a:avLst/>
                    </a:prstGeom>
                    <a:noFill/>
                    <a:ln>
                      <a:noFill/>
                    </a:ln>
                  </pic:spPr>
                </pic:pic>
              </a:graphicData>
            </a:graphic>
          </wp:inline>
        </w:drawing>
      </w:r>
    </w:p>
    <w:p>
      <w:pPr>
        <w:rPr>
          <w:rFonts w:hint="default" w:ascii="Times New Roman" w:hAnsi="Times New Roman" w:cs="Times New Roman"/>
          <w:color w:val="auto"/>
          <w:highlight w:val="none"/>
        </w:rPr>
      </w:pPr>
    </w:p>
    <w:p>
      <w:pPr>
        <w:pStyle w:val="2"/>
        <w:numPr>
          <w:ilvl w:val="0"/>
          <w:numId w:val="1"/>
        </w:numPr>
        <w:spacing w:before="156" w:after="156"/>
        <w:rPr>
          <w:rFonts w:hint="default" w:ascii="Times New Roman" w:hAnsi="Times New Roman" w:cs="Times New Roman"/>
          <w:color w:val="auto"/>
          <w:highlight w:val="none"/>
        </w:rPr>
      </w:pPr>
      <w:bookmarkStart w:id="20" w:name="_Toc124520228"/>
      <w:bookmarkStart w:id="21" w:name="_Toc27578"/>
      <w:r>
        <w:rPr>
          <w:rFonts w:hint="default" w:ascii="Times New Roman" w:hAnsi="Times New Roman" w:cs="Times New Roman"/>
          <w:color w:val="auto"/>
          <w:highlight w:val="none"/>
        </w:rPr>
        <w:t>总平面设计</w:t>
      </w:r>
      <w:bookmarkEnd w:id="20"/>
      <w:bookmarkEnd w:id="21"/>
    </w:p>
    <w:p>
      <w:pPr>
        <w:pStyle w:val="3"/>
        <w:numPr>
          <w:ilvl w:val="2"/>
          <w:numId w:val="3"/>
        </w:numPr>
        <w:spacing w:after="156"/>
        <w:rPr>
          <w:rFonts w:hint="default" w:ascii="Times New Roman" w:hAnsi="Times New Roman" w:cs="Times New Roman"/>
          <w:color w:val="auto"/>
          <w:highlight w:val="none"/>
        </w:rPr>
      </w:pPr>
      <w:bookmarkStart w:id="22" w:name="_Toc1777"/>
      <w:bookmarkStart w:id="23" w:name="_Toc124520229"/>
      <w:r>
        <w:rPr>
          <w:rFonts w:hint="default" w:ascii="Times New Roman" w:hAnsi="Times New Roman" w:cs="Times New Roman"/>
          <w:color w:val="auto"/>
          <w:highlight w:val="none"/>
        </w:rPr>
        <w:t>场地安全性能</w:t>
      </w:r>
      <w:bookmarkEnd w:id="22"/>
      <w:bookmarkEnd w:id="23"/>
    </w:p>
    <w:p>
      <w:pPr>
        <w:pStyle w:val="4"/>
        <w:numPr>
          <w:ilvl w:val="0"/>
          <w:numId w:val="4"/>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自然灾害</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47"/>
        <w:gridCol w:w="1343"/>
        <w:gridCol w:w="2768"/>
        <w:gridCol w:w="13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shd w:val="clear" w:color="auto" w:fill="9FD3A4"/>
          </w:tcPr>
          <w:p>
            <w:pPr>
              <w:spacing w:line="360" w:lineRule="auto"/>
              <w:rPr>
                <w:rFonts w:hint="default" w:ascii="Times New Roman" w:hAnsi="Times New Roman" w:cs="Times New Roman"/>
                <w:b/>
                <w:color w:val="auto"/>
                <w:kern w:val="0"/>
                <w:sz w:val="20"/>
                <w:szCs w:val="21"/>
                <w:highlight w:val="none"/>
              </w:rPr>
            </w:pPr>
            <w:r>
              <w:rPr>
                <w:rFonts w:hint="default" w:ascii="Times New Roman" w:hAnsi="Times New Roman" w:cs="Times New Roman"/>
                <w:b/>
                <w:color w:val="auto"/>
                <w:kern w:val="0"/>
                <w:szCs w:val="21"/>
                <w:highlight w:val="none"/>
              </w:rPr>
              <w:t>场地安全性能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危害种类</w:t>
            </w:r>
          </w:p>
        </w:tc>
        <w:tc>
          <w:tcPr>
            <w:tcW w:w="134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场地情况</w:t>
            </w:r>
          </w:p>
        </w:tc>
        <w:tc>
          <w:tcPr>
            <w:tcW w:w="27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危害种类</w:t>
            </w:r>
          </w:p>
        </w:tc>
        <w:tc>
          <w:tcPr>
            <w:tcW w:w="134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场地情况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洪水</w:t>
            </w:r>
          </w:p>
        </w:tc>
        <w:tc>
          <w:tcPr>
            <w:tcW w:w="134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c>
          <w:tcPr>
            <w:tcW w:w="27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地陷</w:t>
            </w:r>
          </w:p>
        </w:tc>
        <w:tc>
          <w:tcPr>
            <w:tcW w:w="134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泥石流</w:t>
            </w:r>
          </w:p>
        </w:tc>
        <w:tc>
          <w:tcPr>
            <w:tcW w:w="134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c>
          <w:tcPr>
            <w:tcW w:w="27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地裂</w:t>
            </w:r>
          </w:p>
        </w:tc>
        <w:tc>
          <w:tcPr>
            <w:tcW w:w="134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滑坡</w:t>
            </w:r>
          </w:p>
        </w:tc>
        <w:tc>
          <w:tcPr>
            <w:tcW w:w="134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c>
          <w:tcPr>
            <w:tcW w:w="27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地震断裂带</w:t>
            </w:r>
          </w:p>
        </w:tc>
        <w:tc>
          <w:tcPr>
            <w:tcW w:w="134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崩坍</w:t>
            </w:r>
          </w:p>
        </w:tc>
        <w:tc>
          <w:tcPr>
            <w:tcW w:w="134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c>
          <w:tcPr>
            <w:tcW w:w="27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易液化土</w:t>
            </w:r>
          </w:p>
        </w:tc>
        <w:tc>
          <w:tcPr>
            <w:tcW w:w="134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避免危害措施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4" w:hRule="atLeast"/>
          <w:jc w:val="center"/>
        </w:trPr>
        <w:tc>
          <w:tcPr>
            <w:tcW w:w="8505" w:type="dxa"/>
            <w:gridSpan w:val="4"/>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无此项。</w:t>
            </w:r>
          </w:p>
        </w:tc>
      </w:tr>
    </w:tbl>
    <w:p>
      <w:pPr>
        <w:pStyle w:val="2"/>
        <w:numPr>
          <w:ilvl w:val="0"/>
          <w:numId w:val="1"/>
        </w:numPr>
        <w:spacing w:before="156" w:after="156"/>
        <w:rPr>
          <w:rFonts w:hint="default" w:ascii="Times New Roman" w:hAnsi="Times New Roman" w:cs="Times New Roman"/>
          <w:color w:val="auto"/>
          <w:highlight w:val="none"/>
        </w:rPr>
      </w:pPr>
      <w:bookmarkStart w:id="24" w:name="_Toc124520230"/>
      <w:r>
        <w:rPr>
          <w:rFonts w:hint="default" w:ascii="Times New Roman" w:hAnsi="Times New Roman" w:cs="Times New Roman"/>
          <w:color w:val="auto"/>
          <w:highlight w:val="none"/>
        </w:rPr>
        <w:t>项目政策符合性判断</w:t>
      </w:r>
      <w:bookmarkEnd w:id="24"/>
    </w:p>
    <w:p>
      <w:pPr>
        <w:pStyle w:val="3"/>
        <w:numPr>
          <w:ilvl w:val="0"/>
          <w:numId w:val="5"/>
        </w:numPr>
        <w:spacing w:after="156"/>
        <w:rPr>
          <w:rFonts w:hint="default" w:ascii="Times New Roman" w:hAnsi="Times New Roman" w:cs="Times New Roman"/>
          <w:color w:val="auto"/>
          <w:highlight w:val="none"/>
        </w:rPr>
      </w:pPr>
      <w:bookmarkStart w:id="25" w:name="_Toc31694"/>
      <w:bookmarkStart w:id="26" w:name="_Toc124520231"/>
      <w:r>
        <w:rPr>
          <w:rFonts w:hint="default" w:ascii="Times New Roman" w:hAnsi="Times New Roman" w:cs="Times New Roman"/>
          <w:color w:val="auto"/>
          <w:highlight w:val="none"/>
        </w:rPr>
        <w:t>绿色建筑</w:t>
      </w:r>
      <w:bookmarkEnd w:id="25"/>
      <w:bookmarkEnd w:id="26"/>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5"/>
        <w:gridCol w:w="2898"/>
        <w:gridCol w:w="2723"/>
        <w:gridCol w:w="13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shd w:val="clear" w:color="auto" w:fill="9FD3A4"/>
          </w:tcPr>
          <w:p>
            <w:pPr>
              <w:spacing w:line="360" w:lineRule="auto"/>
              <w:rPr>
                <w:rFonts w:hint="default" w:ascii="Times New Roman" w:hAnsi="Times New Roman" w:cs="Times New Roman"/>
                <w:b/>
                <w:color w:val="auto"/>
                <w:kern w:val="0"/>
                <w:sz w:val="20"/>
                <w:szCs w:val="21"/>
                <w:highlight w:val="none"/>
              </w:rPr>
            </w:pPr>
            <w:r>
              <w:rPr>
                <w:rFonts w:hint="default" w:ascii="Times New Roman" w:hAnsi="Times New Roman" w:cs="Times New Roman"/>
                <w:b/>
                <w:color w:val="auto"/>
                <w:kern w:val="0"/>
                <w:szCs w:val="21"/>
                <w:highlight w:val="none"/>
              </w:rPr>
              <w:t>绿色建筑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控制性指标</w:t>
            </w:r>
          </w:p>
        </w:tc>
        <w:tc>
          <w:tcPr>
            <w:tcW w:w="2898"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绿色建筑专项规划、土地出让合同及规划设计条件等要求</w:t>
            </w:r>
          </w:p>
        </w:tc>
        <w:tc>
          <w:tcPr>
            <w:tcW w:w="272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设计执行情况</w:t>
            </w:r>
          </w:p>
        </w:tc>
        <w:tc>
          <w:tcPr>
            <w:tcW w:w="13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符合性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绿色建筑等级</w:t>
            </w:r>
          </w:p>
        </w:tc>
        <w:tc>
          <w:tcPr>
            <w:tcW w:w="2898"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□一星■二星□三星</w:t>
            </w:r>
          </w:p>
        </w:tc>
        <w:tc>
          <w:tcPr>
            <w:tcW w:w="272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□一星■二星□三星</w:t>
            </w:r>
          </w:p>
        </w:tc>
        <w:tc>
          <w:tcPr>
            <w:tcW w:w="13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bl>
    <w:p>
      <w:pPr>
        <w:pStyle w:val="3"/>
        <w:numPr>
          <w:ilvl w:val="0"/>
          <w:numId w:val="5"/>
        </w:numPr>
        <w:spacing w:after="156"/>
        <w:rPr>
          <w:rFonts w:hint="default" w:ascii="Times New Roman" w:hAnsi="Times New Roman" w:cs="Times New Roman"/>
          <w:color w:val="auto"/>
          <w:highlight w:val="none"/>
        </w:rPr>
      </w:pPr>
      <w:bookmarkStart w:id="27" w:name="_Toc23733"/>
      <w:bookmarkStart w:id="28" w:name="_Toc124520232"/>
      <w:r>
        <w:rPr>
          <w:rFonts w:hint="default" w:ascii="Times New Roman" w:hAnsi="Times New Roman" w:cs="Times New Roman"/>
          <w:color w:val="auto"/>
          <w:highlight w:val="none"/>
        </w:rPr>
        <w:t>可再生能源利用</w:t>
      </w:r>
      <w:bookmarkEnd w:id="27"/>
      <w:bookmarkEnd w:id="28"/>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03"/>
        <w:gridCol w:w="1491"/>
        <w:gridCol w:w="1247"/>
        <w:gridCol w:w="1235"/>
        <w:gridCol w:w="13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5"/>
            <w:shd w:val="clear" w:color="auto" w:fill="9FD3A4"/>
            <w:vAlign w:val="center"/>
          </w:tcPr>
          <w:p>
            <w:pPr>
              <w:spacing w:line="360" w:lineRule="auto"/>
              <w:jc w:val="center"/>
              <w:rPr>
                <w:rFonts w:hint="default" w:ascii="Times New Roman" w:hAnsi="Times New Roman" w:cs="Times New Roman"/>
                <w:b/>
                <w:color w:val="auto"/>
                <w:kern w:val="0"/>
                <w:sz w:val="20"/>
                <w:szCs w:val="21"/>
                <w:highlight w:val="none"/>
              </w:rPr>
            </w:pPr>
            <w:r>
              <w:rPr>
                <w:rFonts w:hint="default" w:ascii="Times New Roman" w:hAnsi="Times New Roman" w:cs="Times New Roman"/>
                <w:b/>
                <w:color w:val="auto"/>
                <w:kern w:val="0"/>
                <w:szCs w:val="21"/>
                <w:highlight w:val="none"/>
              </w:rPr>
              <w:t>可再生能源利用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03" w:type="dxa"/>
            <w:shd w:val="clear" w:color="auto" w:fill="9FD3A4"/>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标准</w:t>
            </w:r>
          </w:p>
        </w:tc>
        <w:tc>
          <w:tcPr>
            <w:tcW w:w="3973" w:type="dxa"/>
            <w:gridSpan w:val="3"/>
            <w:shd w:val="clear" w:color="auto" w:fill="9FD3A4"/>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要求</w:t>
            </w:r>
          </w:p>
        </w:tc>
        <w:tc>
          <w:tcPr>
            <w:tcW w:w="1329" w:type="dxa"/>
            <w:shd w:val="clear" w:color="auto" w:fill="9FD3A4"/>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符合性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03"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《浙江省公共建筑节能</w:t>
            </w:r>
          </w:p>
          <w:p>
            <w:pPr>
              <w:jc w:val="center"/>
              <w:rPr>
                <w:rFonts w:hint="default" w:ascii="Times New Roman" w:hAnsi="Times New Roman" w:cs="Times New Roman"/>
                <w:color w:val="auto"/>
                <w:kern w:val="0"/>
                <w:sz w:val="22"/>
                <w:szCs w:val="20"/>
                <w:highlight w:val="none"/>
              </w:rPr>
            </w:pPr>
            <w:r>
              <w:rPr>
                <w:rFonts w:hint="default" w:ascii="Times New Roman" w:hAnsi="Times New Roman" w:cs="Times New Roman"/>
                <w:color w:val="auto"/>
                <w:kern w:val="0"/>
                <w:szCs w:val="21"/>
                <w:highlight w:val="none"/>
              </w:rPr>
              <w:t>设计标准》</w:t>
            </w:r>
            <w:r>
              <w:rPr>
                <w:rFonts w:hint="default" w:ascii="Times New Roman" w:hAnsi="Times New Roman" w:cs="Times New Roman"/>
                <w:color w:val="auto"/>
                <w:kern w:val="0"/>
                <w:sz w:val="22"/>
                <w:szCs w:val="20"/>
                <w:highlight w:val="none"/>
              </w:rPr>
              <w:t>DB33/1036</w:t>
            </w:r>
          </w:p>
        </w:tc>
        <w:tc>
          <w:tcPr>
            <w:tcW w:w="3973" w:type="dxa"/>
            <w:gridSpan w:val="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公共建筑配置太阳能系统</w:t>
            </w:r>
          </w:p>
        </w:tc>
        <w:tc>
          <w:tcPr>
            <w:tcW w:w="13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0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标准</w:t>
            </w:r>
          </w:p>
        </w:tc>
        <w:tc>
          <w:tcPr>
            <w:tcW w:w="2738" w:type="dxa"/>
            <w:gridSpan w:val="2"/>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要求</w:t>
            </w:r>
          </w:p>
        </w:tc>
        <w:tc>
          <w:tcPr>
            <w:tcW w:w="1235"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执行情况</w:t>
            </w:r>
          </w:p>
        </w:tc>
        <w:tc>
          <w:tcPr>
            <w:tcW w:w="1329"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符合性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jc w:val="center"/>
        </w:trPr>
        <w:tc>
          <w:tcPr>
            <w:tcW w:w="3203"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《民用建筑可再生能源应用核算标准》DBJ33/T1105</w:t>
            </w:r>
          </w:p>
        </w:tc>
        <w:tc>
          <w:tcPr>
            <w:tcW w:w="1491"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可再生能源利用量kWh</w:t>
            </w:r>
          </w:p>
        </w:tc>
        <w:tc>
          <w:tcPr>
            <w:tcW w:w="1247"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26402.74</w:t>
            </w:r>
          </w:p>
        </w:tc>
        <w:tc>
          <w:tcPr>
            <w:tcW w:w="1235"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en-US" w:eastAsia="zh-CN"/>
              </w:rPr>
              <w:t>26578.00</w:t>
            </w:r>
          </w:p>
        </w:tc>
        <w:tc>
          <w:tcPr>
            <w:tcW w:w="13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jc w:val="center"/>
        </w:trPr>
        <w:tc>
          <w:tcPr>
            <w:tcW w:w="3203"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《关于加快推进新建建筑太阳能光伏系统建设应用工作的通知》（温住建发</w:t>
            </w:r>
            <w:r>
              <w:rPr>
                <w:rFonts w:hint="default" w:ascii="Times New Roman" w:hAnsi="Times New Roman" w:eastAsia="微软雅黑" w:cs="Times New Roman"/>
                <w:color w:val="auto"/>
                <w:kern w:val="0"/>
                <w:szCs w:val="21"/>
                <w:highlight w:val="none"/>
              </w:rPr>
              <w:t>〔</w:t>
            </w:r>
            <w:r>
              <w:rPr>
                <w:rFonts w:hint="default" w:ascii="Times New Roman" w:hAnsi="Times New Roman" w:cs="Times New Roman"/>
                <w:color w:val="auto"/>
                <w:kern w:val="0"/>
                <w:szCs w:val="21"/>
                <w:highlight w:val="none"/>
              </w:rPr>
              <w:t>2022</w:t>
            </w:r>
            <w:r>
              <w:rPr>
                <w:rFonts w:hint="default" w:ascii="Times New Roman" w:hAnsi="Times New Roman" w:eastAsia="微软雅黑" w:cs="Times New Roman"/>
                <w:color w:val="auto"/>
                <w:kern w:val="0"/>
                <w:szCs w:val="21"/>
                <w:highlight w:val="none"/>
              </w:rPr>
              <w:t>〕</w:t>
            </w:r>
            <w:r>
              <w:rPr>
                <w:rFonts w:hint="default" w:ascii="Times New Roman" w:hAnsi="Times New Roman" w:cs="Times New Roman"/>
                <w:color w:val="auto"/>
                <w:kern w:val="0"/>
                <w:szCs w:val="21"/>
                <w:highlight w:val="none"/>
              </w:rPr>
              <w:t>43号）</w:t>
            </w:r>
          </w:p>
        </w:tc>
        <w:tc>
          <w:tcPr>
            <w:tcW w:w="1491"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能耗比例</w:t>
            </w:r>
          </w:p>
        </w:tc>
        <w:tc>
          <w:tcPr>
            <w:tcW w:w="1247"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en-US" w:eastAsia="zh-CN"/>
              </w:rPr>
              <w:t>12</w:t>
            </w:r>
            <w:r>
              <w:rPr>
                <w:rFonts w:hint="default" w:ascii="Times New Roman" w:hAnsi="Times New Roman" w:cs="Times New Roman"/>
                <w:color w:val="auto"/>
                <w:kern w:val="0"/>
                <w:szCs w:val="21"/>
                <w:highlight w:val="none"/>
              </w:rPr>
              <w:t>%</w:t>
            </w:r>
          </w:p>
        </w:tc>
        <w:tc>
          <w:tcPr>
            <w:tcW w:w="1235"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12.87%</w:t>
            </w:r>
          </w:p>
        </w:tc>
        <w:tc>
          <w:tcPr>
            <w:tcW w:w="1329"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■是□否</w:t>
            </w:r>
          </w:p>
        </w:tc>
      </w:tr>
    </w:tbl>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pStyle w:val="4"/>
        <w:numPr>
          <w:ilvl w:val="0"/>
          <w:numId w:val="4"/>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影响健康因素</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53"/>
        <w:gridCol w:w="1337"/>
        <w:gridCol w:w="2757"/>
        <w:gridCol w:w="13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场地影响人体健康的环境质量因素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5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危害种类</w:t>
            </w:r>
          </w:p>
        </w:tc>
        <w:tc>
          <w:tcPr>
            <w:tcW w:w="133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场地情况</w:t>
            </w:r>
          </w:p>
        </w:tc>
        <w:tc>
          <w:tcPr>
            <w:tcW w:w="275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危害种类</w:t>
            </w:r>
          </w:p>
        </w:tc>
        <w:tc>
          <w:tcPr>
            <w:tcW w:w="135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场地情况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5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电磁辐射</w:t>
            </w:r>
          </w:p>
        </w:tc>
        <w:tc>
          <w:tcPr>
            <w:tcW w:w="133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c>
          <w:tcPr>
            <w:tcW w:w="275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含氡土壤</w:t>
            </w:r>
          </w:p>
        </w:tc>
        <w:tc>
          <w:tcPr>
            <w:tcW w:w="135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5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周边危险化学品</w:t>
            </w:r>
          </w:p>
        </w:tc>
        <w:tc>
          <w:tcPr>
            <w:tcW w:w="133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c>
          <w:tcPr>
            <w:tcW w:w="275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周边易燃易爆危险源</w:t>
            </w:r>
          </w:p>
        </w:tc>
        <w:tc>
          <w:tcPr>
            <w:tcW w:w="135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5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场地内污染源</w:t>
            </w:r>
          </w:p>
        </w:tc>
        <w:tc>
          <w:tcPr>
            <w:tcW w:w="133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c>
          <w:tcPr>
            <w:tcW w:w="2757" w:type="dxa"/>
          </w:tcPr>
          <w:p>
            <w:pPr>
              <w:spacing w:line="360" w:lineRule="auto"/>
              <w:jc w:val="center"/>
              <w:rPr>
                <w:rFonts w:hint="default" w:ascii="Times New Roman" w:hAnsi="Times New Roman" w:cs="Times New Roman"/>
                <w:color w:val="auto"/>
                <w:kern w:val="0"/>
                <w:szCs w:val="21"/>
                <w:highlight w:val="none"/>
              </w:rPr>
            </w:pPr>
          </w:p>
        </w:tc>
        <w:tc>
          <w:tcPr>
            <w:tcW w:w="1358" w:type="dxa"/>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避免危害措施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4" w:hRule="atLeast"/>
          <w:jc w:val="center"/>
        </w:trPr>
        <w:tc>
          <w:tcPr>
            <w:tcW w:w="8505" w:type="dxa"/>
            <w:gridSpan w:val="4"/>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根据《温州市绿色建筑城镇区域性土壤氡浓度水平调查评估》场地符合场地内相关要求。</w:t>
            </w:r>
          </w:p>
        </w:tc>
      </w:tr>
    </w:tbl>
    <w:p>
      <w:pPr>
        <w:pStyle w:val="4"/>
        <w:numPr>
          <w:ilvl w:val="0"/>
          <w:numId w:val="6"/>
        </w:numPr>
        <w:spacing w:before="156" w:after="156"/>
        <w:ind w:firstLineChars="0"/>
        <w:rPr>
          <w:rFonts w:hint="default" w:ascii="Times New Roman" w:hAnsi="Times New Roman" w:cs="Times New Roman"/>
          <w:color w:val="auto"/>
          <w:highlight w:val="none"/>
        </w:rPr>
      </w:pPr>
      <w:bookmarkStart w:id="29" w:name="_Toc1066"/>
      <w:bookmarkStart w:id="30" w:name="_Toc124520233"/>
      <w:r>
        <w:rPr>
          <w:rFonts w:hint="default" w:ascii="Times New Roman" w:hAnsi="Times New Roman" w:cs="Times New Roman"/>
          <w:color w:val="auto"/>
          <w:highlight w:val="none"/>
        </w:rPr>
        <w:t>安全防护</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35"/>
        <w:gridCol w:w="13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2"/>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安全防护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35"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总平面设计采取保障人员安全的防护措施</w:t>
            </w:r>
          </w:p>
        </w:tc>
        <w:tc>
          <w:tcPr>
            <w:tcW w:w="137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35" w:type="dxa"/>
          </w:tcPr>
          <w:p>
            <w:pPr>
              <w:spacing w:line="360" w:lineRule="auto"/>
              <w:rPr>
                <w:rFonts w:hint="default" w:ascii="Times New Roman" w:hAnsi="Times New Roman" w:cs="Times New Roman"/>
                <w:color w:val="auto"/>
                <w:kern w:val="0"/>
                <w:szCs w:val="21"/>
                <w:highlight w:val="none"/>
              </w:rPr>
            </w:pPr>
            <w:bookmarkStart w:id="31" w:name="_Hlk121818151"/>
            <w:r>
              <w:rPr>
                <w:rFonts w:hint="default" w:ascii="Times New Roman" w:hAnsi="Times New Roman" w:cs="Times New Roman"/>
                <w:color w:val="auto"/>
                <w:kern w:val="0"/>
                <w:szCs w:val="21"/>
                <w:highlight w:val="none"/>
              </w:rPr>
              <w:t>设计安全防护的警示和引导标识系统</w:t>
            </w:r>
            <w:bookmarkEnd w:id="31"/>
          </w:p>
        </w:tc>
        <w:tc>
          <w:tcPr>
            <w:tcW w:w="137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bl>
    <w:p>
      <w:pPr>
        <w:pStyle w:val="3"/>
        <w:numPr>
          <w:ilvl w:val="2"/>
          <w:numId w:val="3"/>
        </w:numPr>
        <w:spacing w:after="156"/>
        <w:rPr>
          <w:rFonts w:hint="default" w:ascii="Times New Roman" w:hAnsi="Times New Roman" w:cs="Times New Roman"/>
          <w:color w:val="auto"/>
          <w:highlight w:val="none"/>
        </w:rPr>
      </w:pPr>
      <w:r>
        <w:rPr>
          <w:rFonts w:hint="default" w:ascii="Times New Roman" w:hAnsi="Times New Roman" w:cs="Times New Roman"/>
          <w:color w:val="auto"/>
          <w:highlight w:val="none"/>
        </w:rPr>
        <w:t>场地资源利用</w:t>
      </w:r>
      <w:bookmarkEnd w:id="29"/>
      <w:bookmarkEnd w:id="30"/>
    </w:p>
    <w:p>
      <w:pPr>
        <w:pStyle w:val="4"/>
        <w:numPr>
          <w:ilvl w:val="0"/>
          <w:numId w:val="7"/>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节约集约利用土地</w:t>
      </w:r>
    </w:p>
    <w:p>
      <w:pPr>
        <w:spacing w:line="360" w:lineRule="auto"/>
        <w:ind w:left="426"/>
        <w:rPr>
          <w:rFonts w:hint="default" w:ascii="Times New Roman" w:hAnsi="Times New Roman" w:eastAsia="宋体" w:cs="Times New Roman"/>
          <w:color w:val="auto"/>
          <w:sz w:val="24"/>
          <w:highlight w:val="none"/>
          <w:lang w:val="en-US" w:eastAsia="zh-CN"/>
        </w:rPr>
      </w:pPr>
      <w:r>
        <w:rPr>
          <w:rFonts w:hint="default" w:ascii="Times New Roman" w:hAnsi="Times New Roman" w:cs="Times New Roman"/>
          <w:color w:val="auto"/>
          <w:sz w:val="24"/>
          <w:highlight w:val="none"/>
        </w:rPr>
        <w:t>公共建筑容积率：</w:t>
      </w:r>
      <w:r>
        <w:rPr>
          <w:rFonts w:hint="default" w:ascii="Times New Roman" w:hAnsi="Times New Roman" w:cs="Times New Roman"/>
          <w:color w:val="auto"/>
          <w:sz w:val="24"/>
          <w:highlight w:val="none"/>
          <w:u w:val="single"/>
          <w:lang w:val="en-US" w:eastAsia="zh-CN"/>
        </w:rPr>
        <w:t>0.60</w:t>
      </w:r>
    </w:p>
    <w:p>
      <w:pPr>
        <w:pStyle w:val="4"/>
        <w:numPr>
          <w:ilvl w:val="0"/>
          <w:numId w:val="7"/>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合理开发利用地下空间</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24"/>
        <w:gridCol w:w="19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2"/>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公共建筑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24"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地下建筑面积（㎡）</w:t>
            </w:r>
          </w:p>
        </w:tc>
        <w:tc>
          <w:tcPr>
            <w:tcW w:w="1981" w:type="dxa"/>
          </w:tcPr>
          <w:p>
            <w:pPr>
              <w:spacing w:line="360" w:lineRule="auto"/>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202.47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24"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地下一层建筑面积（㎡）</w:t>
            </w:r>
          </w:p>
        </w:tc>
        <w:tc>
          <w:tcPr>
            <w:tcW w:w="1981" w:type="dxa"/>
          </w:tcPr>
          <w:p>
            <w:pPr>
              <w:spacing w:line="360" w:lineRule="auto"/>
              <w:jc w:val="center"/>
              <w:rPr>
                <w:rFonts w:hint="default" w:ascii="Times New Roman" w:hAnsi="Times New Roman" w:eastAsia="宋体" w:cs="Times New Roman"/>
                <w:color w:val="auto"/>
                <w:kern w:val="0"/>
                <w:szCs w:val="21"/>
                <w:highlight w:val="none"/>
                <w:lang w:eastAsia="zh-CN"/>
              </w:rPr>
            </w:pPr>
            <w:r>
              <w:rPr>
                <w:rFonts w:hint="default" w:ascii="Times New Roman" w:hAnsi="Times New Roman" w:cs="Times New Roman"/>
                <w:color w:val="auto"/>
                <w:kern w:val="0"/>
                <w:szCs w:val="21"/>
                <w:highlight w:val="none"/>
                <w:lang w:eastAsia="zh-CN"/>
              </w:rPr>
              <w:t>202.47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24"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总用地面积（㎡）</w:t>
            </w:r>
          </w:p>
        </w:tc>
        <w:tc>
          <w:tcPr>
            <w:tcW w:w="1981" w:type="dxa"/>
          </w:tcPr>
          <w:p>
            <w:pPr>
              <w:spacing w:line="360" w:lineRule="auto"/>
              <w:jc w:val="center"/>
              <w:rPr>
                <w:rFonts w:hint="default" w:ascii="Times New Roman" w:hAnsi="Times New Roman" w:cs="Times New Roman"/>
                <w:color w:val="auto"/>
                <w:kern w:val="0"/>
                <w:szCs w:val="21"/>
                <w:highlight w:val="none"/>
                <w:lang w:eastAsia="zh-CN"/>
              </w:rPr>
            </w:pPr>
            <w:r>
              <w:rPr>
                <w:rFonts w:hint="default" w:ascii="Times New Roman" w:hAnsi="Times New Roman" w:cs="Times New Roman"/>
                <w:color w:val="auto"/>
                <w:kern w:val="0"/>
                <w:szCs w:val="21"/>
                <w:highlight w:val="none"/>
                <w:lang w:eastAsia="zh-CN"/>
              </w:rPr>
              <w:t>13807.76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24"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地下建筑面积与总用地面积的比率Rp1</w:t>
            </w:r>
          </w:p>
        </w:tc>
        <w:tc>
          <w:tcPr>
            <w:tcW w:w="1981" w:type="dxa"/>
            <w:vAlign w:val="bottom"/>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1.47%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24"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地下一层建筑面积与总用地面积的比率Rp</w:t>
            </w:r>
          </w:p>
        </w:tc>
        <w:tc>
          <w:tcPr>
            <w:tcW w:w="1981" w:type="dxa"/>
            <w:vAlign w:val="bottom"/>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1.47%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注：1）Rp1必须</w:t>
            </w:r>
            <w:r>
              <w:rPr>
                <w:rFonts w:hint="default" w:ascii="Times New Roman" w:hAnsi="Times New Roman" w:cs="Times New Roman"/>
                <w:b/>
                <w:color w:val="auto"/>
                <w:kern w:val="0"/>
                <w:szCs w:val="21"/>
                <w:highlight w:val="none"/>
              </w:rPr>
              <w:t>≥</w:t>
            </w:r>
            <w:r>
              <w:rPr>
                <w:rFonts w:hint="default" w:ascii="Times New Roman" w:hAnsi="Times New Roman" w:cs="Times New Roman"/>
                <w:color w:val="auto"/>
                <w:kern w:val="0"/>
                <w:szCs w:val="21"/>
                <w:highlight w:val="none"/>
              </w:rPr>
              <w:t>0.5，不适宜开发地下空间项目应说明原因。</w:t>
            </w:r>
          </w:p>
          <w:p>
            <w:pPr>
              <w:spacing w:line="360" w:lineRule="auto"/>
              <w:ind w:firstLine="420" w:firstLineChars="200"/>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2）二星级项目，Rp1应</w:t>
            </w:r>
            <w:r>
              <w:rPr>
                <w:rFonts w:hint="default" w:ascii="Times New Roman" w:hAnsi="Times New Roman" w:cs="Times New Roman"/>
                <w:b/>
                <w:color w:val="auto"/>
                <w:kern w:val="0"/>
                <w:szCs w:val="21"/>
                <w:highlight w:val="none"/>
              </w:rPr>
              <w:t>≥</w:t>
            </w:r>
            <w:r>
              <w:rPr>
                <w:rFonts w:hint="default" w:ascii="Times New Roman" w:hAnsi="Times New Roman" w:cs="Times New Roman"/>
                <w:color w:val="auto"/>
                <w:kern w:val="0"/>
                <w:szCs w:val="21"/>
                <w:highlight w:val="none"/>
              </w:rPr>
              <w:t>0.7且Rp＜70%。</w:t>
            </w:r>
          </w:p>
          <w:p>
            <w:pPr>
              <w:spacing w:line="360" w:lineRule="auto"/>
              <w:ind w:firstLine="420" w:firstLineChars="200"/>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3）三星级项目，Rp1应</w:t>
            </w:r>
            <w:r>
              <w:rPr>
                <w:rFonts w:hint="default" w:ascii="Times New Roman" w:hAnsi="Times New Roman" w:cs="Times New Roman"/>
                <w:b/>
                <w:color w:val="auto"/>
                <w:kern w:val="0"/>
                <w:szCs w:val="21"/>
                <w:highlight w:val="none"/>
              </w:rPr>
              <w:t>≥</w:t>
            </w:r>
            <w:r>
              <w:rPr>
                <w:rFonts w:hint="default" w:ascii="Times New Roman" w:hAnsi="Times New Roman" w:cs="Times New Roman"/>
                <w:color w:val="auto"/>
                <w:kern w:val="0"/>
                <w:szCs w:val="21"/>
                <w:highlight w:val="none"/>
              </w:rPr>
              <w:t>1.0且Rp＜60%。</w:t>
            </w:r>
          </w:p>
        </w:tc>
      </w:tr>
    </w:tbl>
    <w:p>
      <w:pPr>
        <w:spacing w:line="360" w:lineRule="auto"/>
        <w:rPr>
          <w:rFonts w:hint="default" w:ascii="Times New Roman" w:hAnsi="Times New Roman" w:cs="Times New Roman"/>
          <w:color w:val="auto"/>
          <w:sz w:val="24"/>
          <w:highlight w:val="none"/>
          <w:u w:val="single"/>
        </w:rPr>
      </w:pPr>
    </w:p>
    <w:p>
      <w:pPr>
        <w:pStyle w:val="4"/>
        <w:numPr>
          <w:ilvl w:val="0"/>
          <w:numId w:val="7"/>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地面停车位</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16"/>
        <w:gridCol w:w="19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2"/>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公共建筑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16"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地面停车占地面积（㎡）</w:t>
            </w:r>
          </w:p>
        </w:tc>
        <w:tc>
          <w:tcPr>
            <w:tcW w:w="1989" w:type="dxa"/>
            <w:vAlign w:val="center"/>
          </w:tcPr>
          <w:p>
            <w:pPr>
              <w:spacing w:line="360" w:lineRule="auto"/>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416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16"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总建设用地面积（㎡）</w:t>
            </w:r>
          </w:p>
        </w:tc>
        <w:tc>
          <w:tcPr>
            <w:tcW w:w="1989" w:type="dxa"/>
            <w:vAlign w:val="center"/>
          </w:tcPr>
          <w:p>
            <w:pPr>
              <w:spacing w:line="360" w:lineRule="auto"/>
              <w:jc w:val="center"/>
              <w:rPr>
                <w:rFonts w:hint="default" w:ascii="Times New Roman" w:hAnsi="Times New Roman" w:eastAsia="宋体" w:cs="Times New Roman"/>
                <w:color w:val="auto"/>
                <w:kern w:val="0"/>
                <w:szCs w:val="21"/>
                <w:highlight w:val="none"/>
                <w:lang w:eastAsia="zh-CN"/>
              </w:rPr>
            </w:pPr>
            <w:r>
              <w:rPr>
                <w:rFonts w:hint="default" w:ascii="Times New Roman" w:hAnsi="Times New Roman" w:cs="Times New Roman"/>
                <w:color w:val="auto"/>
                <w:kern w:val="0"/>
                <w:szCs w:val="21"/>
                <w:highlight w:val="none"/>
                <w:lang w:eastAsia="zh-CN"/>
              </w:rPr>
              <w:t>13807.76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16"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地面停车占地面积与总建设用地面积的比率（%）</w:t>
            </w:r>
          </w:p>
        </w:tc>
        <w:tc>
          <w:tcPr>
            <w:tcW w:w="1989" w:type="dxa"/>
            <w:vAlign w:val="center"/>
          </w:tcPr>
          <w:p>
            <w:pPr>
              <w:spacing w:line="360" w:lineRule="auto"/>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3.01%</w:t>
            </w:r>
          </w:p>
        </w:tc>
      </w:tr>
    </w:tbl>
    <w:p>
      <w:pPr>
        <w:pStyle w:val="4"/>
        <w:numPr>
          <w:ilvl w:val="0"/>
          <w:numId w:val="7"/>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自然资源勘察与利用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2268"/>
        <w:gridCol w:w="2268"/>
        <w:gridCol w:w="18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自然资源勘察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种类</w:t>
            </w:r>
          </w:p>
        </w:tc>
        <w:tc>
          <w:tcPr>
            <w:tcW w:w="22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场地情况</w:t>
            </w:r>
          </w:p>
        </w:tc>
        <w:tc>
          <w:tcPr>
            <w:tcW w:w="22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种类</w:t>
            </w:r>
          </w:p>
        </w:tc>
        <w:tc>
          <w:tcPr>
            <w:tcW w:w="184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场地情况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植被</w:t>
            </w:r>
          </w:p>
        </w:tc>
        <w:tc>
          <w:tcPr>
            <w:tcW w:w="22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c>
          <w:tcPr>
            <w:tcW w:w="22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山体</w:t>
            </w:r>
          </w:p>
        </w:tc>
        <w:tc>
          <w:tcPr>
            <w:tcW w:w="184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有■无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水体</w:t>
            </w:r>
          </w:p>
        </w:tc>
        <w:tc>
          <w:tcPr>
            <w:tcW w:w="22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c>
          <w:tcPr>
            <w:tcW w:w="22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地表行泄洪通道</w:t>
            </w:r>
          </w:p>
        </w:tc>
        <w:tc>
          <w:tcPr>
            <w:tcW w:w="184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滞蓄洪坑塘洼地</w:t>
            </w:r>
          </w:p>
        </w:tc>
        <w:tc>
          <w:tcPr>
            <w:tcW w:w="22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c>
          <w:tcPr>
            <w:tcW w:w="2268" w:type="dxa"/>
          </w:tcPr>
          <w:p>
            <w:pPr>
              <w:spacing w:line="360" w:lineRule="auto"/>
              <w:jc w:val="center"/>
              <w:rPr>
                <w:rFonts w:hint="default" w:ascii="Times New Roman" w:hAnsi="Times New Roman" w:cs="Times New Roman"/>
                <w:color w:val="auto"/>
                <w:kern w:val="0"/>
                <w:szCs w:val="21"/>
                <w:highlight w:val="none"/>
              </w:rPr>
            </w:pPr>
          </w:p>
        </w:tc>
        <w:tc>
          <w:tcPr>
            <w:tcW w:w="1847" w:type="dxa"/>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场地内原有的自然水域、湿地、植被的保护措施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3" w:hRule="atLeast"/>
          <w:jc w:val="center"/>
        </w:trPr>
        <w:tc>
          <w:tcPr>
            <w:tcW w:w="8505" w:type="dxa"/>
            <w:gridSpan w:val="4"/>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充分利用原有地形地貌进行场地设计和建筑布局，尽量减少土石方量，减少开发建设过程对场地及周边环境生态系统的改变。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505"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场地内外生态系统的连贯性保持策略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4" w:hRule="atLeast"/>
          <w:jc w:val="center"/>
        </w:trPr>
        <w:tc>
          <w:tcPr>
            <w:tcW w:w="8505" w:type="dxa"/>
            <w:gridSpan w:val="4"/>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场地内外生态系统保持衔接，形成连贯的生态系统，避免形成生态孤岛，利于物种存续及生物多样性保护。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jc w:val="center"/>
        </w:trPr>
        <w:tc>
          <w:tcPr>
            <w:tcW w:w="8505"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净地表层土回收利用等生态补偿措施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9" w:hRule="atLeast"/>
          <w:jc w:val="center"/>
        </w:trPr>
        <w:tc>
          <w:tcPr>
            <w:tcW w:w="8505" w:type="dxa"/>
            <w:gridSpan w:val="4"/>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在建设过程中确需改造场地内的地形、地貌等环境状态时，在工程结束后及时采取生态复原措施，减少对原场地环境的破坏。建设项目的场地施工合理安排，分类收集、保存并利用原场地的表层土。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8505"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其他生态恢复或补偿措施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5" w:hRule="atLeast"/>
          <w:jc w:val="center"/>
        </w:trPr>
        <w:tc>
          <w:tcPr>
            <w:tcW w:w="8505" w:type="dxa"/>
            <w:gridSpan w:val="4"/>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在场地内规划设计多样化的生态体系，为本土动物提供生物通道和栖息场所;采用生态驳岸、生态浮岛等措施增加本地生物生存活动空间。</w:t>
            </w:r>
          </w:p>
        </w:tc>
      </w:tr>
    </w:tbl>
    <w:p>
      <w:pPr>
        <w:rPr>
          <w:rFonts w:hint="default" w:ascii="Times New Roman" w:hAnsi="Times New Roman" w:cs="Times New Roman"/>
          <w:color w:val="auto"/>
          <w:highlight w:val="none"/>
        </w:rPr>
      </w:pPr>
      <w:bookmarkStart w:id="32" w:name="_Toc26838"/>
    </w:p>
    <w:p>
      <w:pPr>
        <w:pStyle w:val="3"/>
        <w:numPr>
          <w:ilvl w:val="2"/>
          <w:numId w:val="3"/>
        </w:numPr>
        <w:spacing w:after="156"/>
        <w:rPr>
          <w:rFonts w:hint="default" w:ascii="Times New Roman" w:hAnsi="Times New Roman" w:cs="Times New Roman"/>
          <w:color w:val="auto"/>
          <w:highlight w:val="none"/>
        </w:rPr>
      </w:pPr>
      <w:bookmarkStart w:id="33" w:name="_Toc124520234"/>
      <w:r>
        <w:rPr>
          <w:rFonts w:hint="default" w:ascii="Times New Roman" w:hAnsi="Times New Roman" w:cs="Times New Roman"/>
          <w:color w:val="auto"/>
          <w:highlight w:val="none"/>
        </w:rPr>
        <w:t>室外光环境</w:t>
      </w:r>
      <w:bookmarkEnd w:id="32"/>
      <w:bookmarkEnd w:id="33"/>
    </w:p>
    <w:p>
      <w:pPr>
        <w:spacing w:line="360" w:lineRule="auto"/>
        <w:ind w:firstLine="42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玻璃幕墙可见光反射比：</w:t>
      </w:r>
      <w:r>
        <w:rPr>
          <w:rFonts w:hint="default" w:ascii="Times New Roman" w:hAnsi="Times New Roman" w:cs="Times New Roman"/>
          <w:color w:val="auto"/>
          <w:sz w:val="24"/>
          <w:highlight w:val="none"/>
          <w:u w:val="single"/>
        </w:rPr>
        <w:t>E</w:t>
      </w:r>
      <w:r>
        <w:rPr>
          <w:rFonts w:hint="default" w:ascii="Times New Roman" w:hAnsi="Times New Roman" w:cs="Times New Roman"/>
          <w:color w:val="auto"/>
          <w:sz w:val="24"/>
          <w:highlight w:val="none"/>
          <w:u w:val="single"/>
        </w:rPr>
        <w:t>2</w:t>
      </w:r>
      <w:r>
        <w:rPr>
          <w:rFonts w:hint="default" w:ascii="Times New Roman" w:hAnsi="Times New Roman" w:cs="Times New Roman"/>
          <w:color w:val="auto"/>
          <w:sz w:val="24"/>
          <w:highlight w:val="none"/>
          <w:u w:val="single"/>
        </w:rPr>
        <w:t>。</w:t>
      </w:r>
    </w:p>
    <w:p>
      <w:pPr>
        <w:spacing w:line="360" w:lineRule="auto"/>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ab/>
      </w:r>
      <w:r>
        <w:rPr>
          <w:rFonts w:hint="default" w:ascii="Times New Roman" w:hAnsi="Times New Roman" w:cs="Times New Roman"/>
          <w:color w:val="auto"/>
          <w:sz w:val="24"/>
          <w:highlight w:val="none"/>
        </w:rPr>
        <w:t>夜景照明光污染控制情况</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2"/>
        <w:gridCol w:w="3119"/>
        <w:gridCol w:w="24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城市环境亮度分区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环境亮度类型</w:t>
            </w:r>
          </w:p>
        </w:tc>
        <w:tc>
          <w:tcPr>
            <w:tcW w:w="311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对应区域</w:t>
            </w:r>
          </w:p>
        </w:tc>
        <w:tc>
          <w:tcPr>
            <w:tcW w:w="241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区域代号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严格控制照明区域</w:t>
            </w:r>
          </w:p>
        </w:tc>
        <w:tc>
          <w:tcPr>
            <w:tcW w:w="311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森林公园、自然保护区</w:t>
            </w:r>
          </w:p>
        </w:tc>
        <w:tc>
          <w:tcPr>
            <w:tcW w:w="241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低亮度区域</w:t>
            </w:r>
          </w:p>
        </w:tc>
        <w:tc>
          <w:tcPr>
            <w:tcW w:w="311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城郊居住区</w:t>
            </w:r>
          </w:p>
        </w:tc>
        <w:tc>
          <w:tcPr>
            <w:tcW w:w="241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E2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中等亮度区域</w:t>
            </w:r>
          </w:p>
        </w:tc>
        <w:tc>
          <w:tcPr>
            <w:tcW w:w="311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城市居住区及一般公共区</w:t>
            </w:r>
          </w:p>
        </w:tc>
        <w:tc>
          <w:tcPr>
            <w:tcW w:w="241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E3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高亮度区域</w:t>
            </w:r>
          </w:p>
        </w:tc>
        <w:tc>
          <w:tcPr>
            <w:tcW w:w="311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城市中心区、商业区</w:t>
            </w:r>
          </w:p>
        </w:tc>
        <w:tc>
          <w:tcPr>
            <w:tcW w:w="241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E4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91" w:type="dxa"/>
            <w:gridSpan w:val="2"/>
            <w:shd w:val="clear" w:color="auto" w:fill="9FD3A4"/>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b/>
                <w:color w:val="auto"/>
                <w:kern w:val="0"/>
                <w:szCs w:val="21"/>
                <w:highlight w:val="none"/>
              </w:rPr>
              <w:t>项目所属区域</w:t>
            </w:r>
          </w:p>
        </w:tc>
        <w:tc>
          <w:tcPr>
            <w:tcW w:w="241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E</w:t>
            </w:r>
            <w:r>
              <w:rPr>
                <w:rFonts w:hint="default" w:ascii="Times New Roman" w:hAnsi="Times New Roman" w:cs="Times New Roman"/>
                <w:color w:val="auto"/>
                <w:kern w:val="0"/>
                <w:szCs w:val="21"/>
                <w:highlight w:val="none"/>
              </w:rPr>
              <w:t>3</w:t>
            </w:r>
          </w:p>
        </w:tc>
      </w:tr>
    </w:tbl>
    <w:p>
      <w:pPr>
        <w:spacing w:line="360" w:lineRule="auto"/>
        <w:rPr>
          <w:rFonts w:hint="default" w:ascii="Times New Roman" w:hAnsi="Times New Roman" w:cs="Times New Roman"/>
          <w:color w:val="auto"/>
          <w:sz w:val="24"/>
          <w:highlight w:val="none"/>
        </w:rPr>
      </w:pP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52"/>
        <w:gridCol w:w="3227"/>
        <w:gridCol w:w="662"/>
        <w:gridCol w:w="662"/>
        <w:gridCol w:w="741"/>
        <w:gridCol w:w="741"/>
        <w:gridCol w:w="7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7"/>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室外夜景照明的光污染控制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 w:hRule="atLeast"/>
          <w:jc w:val="center"/>
        </w:trPr>
        <w:tc>
          <w:tcPr>
            <w:tcW w:w="1752"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照明技术参数</w:t>
            </w:r>
          </w:p>
        </w:tc>
        <w:tc>
          <w:tcPr>
            <w:tcW w:w="3227"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应用条件</w:t>
            </w:r>
          </w:p>
        </w:tc>
        <w:tc>
          <w:tcPr>
            <w:tcW w:w="2806" w:type="dxa"/>
            <w:gridSpan w:val="4"/>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环境区域控制指标</w:t>
            </w:r>
          </w:p>
        </w:tc>
        <w:tc>
          <w:tcPr>
            <w:tcW w:w="737"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符合情况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1752"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322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66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E1区</w:t>
            </w:r>
          </w:p>
        </w:tc>
        <w:tc>
          <w:tcPr>
            <w:tcW w:w="66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E2区</w:t>
            </w:r>
          </w:p>
        </w:tc>
        <w:tc>
          <w:tcPr>
            <w:tcW w:w="74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E3区</w:t>
            </w:r>
          </w:p>
        </w:tc>
        <w:tc>
          <w:tcPr>
            <w:tcW w:w="74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E4区</w:t>
            </w:r>
          </w:p>
        </w:tc>
        <w:tc>
          <w:tcPr>
            <w:tcW w:w="7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1752"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垂直面照度Ev（lx）</w:t>
            </w:r>
          </w:p>
        </w:tc>
        <w:tc>
          <w:tcPr>
            <w:tcW w:w="3227"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熄灯时段前</w:t>
            </w:r>
          </w:p>
        </w:tc>
        <w:tc>
          <w:tcPr>
            <w:tcW w:w="66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w:t>
            </w:r>
          </w:p>
        </w:tc>
        <w:tc>
          <w:tcPr>
            <w:tcW w:w="66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5</w:t>
            </w:r>
          </w:p>
        </w:tc>
        <w:tc>
          <w:tcPr>
            <w:tcW w:w="74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10</w:t>
            </w:r>
          </w:p>
        </w:tc>
        <w:tc>
          <w:tcPr>
            <w:tcW w:w="74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25</w:t>
            </w:r>
          </w:p>
        </w:tc>
        <w:tc>
          <w:tcPr>
            <w:tcW w:w="737"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b/>
                <w:bCs/>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1752"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3227"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熄灯时段</w:t>
            </w:r>
          </w:p>
        </w:tc>
        <w:tc>
          <w:tcPr>
            <w:tcW w:w="66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0</w:t>
            </w:r>
          </w:p>
        </w:tc>
        <w:tc>
          <w:tcPr>
            <w:tcW w:w="66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1</w:t>
            </w:r>
          </w:p>
        </w:tc>
        <w:tc>
          <w:tcPr>
            <w:tcW w:w="74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w:t>
            </w:r>
          </w:p>
        </w:tc>
        <w:tc>
          <w:tcPr>
            <w:tcW w:w="74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5</w:t>
            </w:r>
          </w:p>
        </w:tc>
        <w:tc>
          <w:tcPr>
            <w:tcW w:w="73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b/>
                <w:bCs/>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1752"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灯具发光强度I（cd）</w:t>
            </w:r>
          </w:p>
        </w:tc>
        <w:tc>
          <w:tcPr>
            <w:tcW w:w="3227"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熄灯时段前</w:t>
            </w:r>
          </w:p>
        </w:tc>
        <w:tc>
          <w:tcPr>
            <w:tcW w:w="66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2500</w:t>
            </w:r>
          </w:p>
        </w:tc>
        <w:tc>
          <w:tcPr>
            <w:tcW w:w="66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7500</w:t>
            </w:r>
          </w:p>
        </w:tc>
        <w:tc>
          <w:tcPr>
            <w:tcW w:w="74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10000</w:t>
            </w:r>
          </w:p>
        </w:tc>
        <w:tc>
          <w:tcPr>
            <w:tcW w:w="74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25000</w:t>
            </w:r>
          </w:p>
        </w:tc>
        <w:tc>
          <w:tcPr>
            <w:tcW w:w="73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b/>
                <w:bCs/>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1752"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3227"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熄灯时段</w:t>
            </w:r>
          </w:p>
        </w:tc>
        <w:tc>
          <w:tcPr>
            <w:tcW w:w="66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0</w:t>
            </w:r>
          </w:p>
        </w:tc>
        <w:tc>
          <w:tcPr>
            <w:tcW w:w="66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500</w:t>
            </w:r>
          </w:p>
        </w:tc>
        <w:tc>
          <w:tcPr>
            <w:tcW w:w="74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1000</w:t>
            </w:r>
          </w:p>
        </w:tc>
        <w:tc>
          <w:tcPr>
            <w:tcW w:w="74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2500</w:t>
            </w:r>
          </w:p>
        </w:tc>
        <w:tc>
          <w:tcPr>
            <w:tcW w:w="73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b/>
                <w:bCs/>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175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上射光通比</w:t>
            </w:r>
          </w:p>
        </w:tc>
        <w:tc>
          <w:tcPr>
            <w:tcW w:w="3227"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灯具所处位置水平面以上的光通量与灯具总光通量之比（%）</w:t>
            </w:r>
          </w:p>
        </w:tc>
        <w:tc>
          <w:tcPr>
            <w:tcW w:w="66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0</w:t>
            </w:r>
          </w:p>
        </w:tc>
        <w:tc>
          <w:tcPr>
            <w:tcW w:w="66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5</w:t>
            </w:r>
          </w:p>
        </w:tc>
        <w:tc>
          <w:tcPr>
            <w:tcW w:w="74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15</w:t>
            </w:r>
          </w:p>
        </w:tc>
        <w:tc>
          <w:tcPr>
            <w:tcW w:w="74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25</w:t>
            </w:r>
          </w:p>
        </w:tc>
        <w:tc>
          <w:tcPr>
            <w:tcW w:w="73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b/>
                <w:bCs/>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175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建筑立面亮度Lb（cd/㎡）</w:t>
            </w:r>
          </w:p>
        </w:tc>
        <w:tc>
          <w:tcPr>
            <w:tcW w:w="3227"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被照明平均亮度</w:t>
            </w:r>
          </w:p>
        </w:tc>
        <w:tc>
          <w:tcPr>
            <w:tcW w:w="66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0</w:t>
            </w:r>
          </w:p>
        </w:tc>
        <w:tc>
          <w:tcPr>
            <w:tcW w:w="66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5</w:t>
            </w:r>
          </w:p>
        </w:tc>
        <w:tc>
          <w:tcPr>
            <w:tcW w:w="74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10</w:t>
            </w:r>
          </w:p>
        </w:tc>
        <w:tc>
          <w:tcPr>
            <w:tcW w:w="74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25</w:t>
            </w:r>
          </w:p>
        </w:tc>
        <w:tc>
          <w:tcPr>
            <w:tcW w:w="73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b/>
                <w:bCs/>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175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标识亮度Ls</w:t>
            </w:r>
          </w:p>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（cd/㎡）</w:t>
            </w:r>
          </w:p>
        </w:tc>
        <w:tc>
          <w:tcPr>
            <w:tcW w:w="3227"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外投光标识被照面平均亮度</w:t>
            </w:r>
          </w:p>
        </w:tc>
        <w:tc>
          <w:tcPr>
            <w:tcW w:w="66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50</w:t>
            </w:r>
          </w:p>
        </w:tc>
        <w:tc>
          <w:tcPr>
            <w:tcW w:w="66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400</w:t>
            </w:r>
          </w:p>
        </w:tc>
        <w:tc>
          <w:tcPr>
            <w:tcW w:w="74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800</w:t>
            </w:r>
          </w:p>
        </w:tc>
        <w:tc>
          <w:tcPr>
            <w:tcW w:w="74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1000</w:t>
            </w:r>
          </w:p>
        </w:tc>
        <w:tc>
          <w:tcPr>
            <w:tcW w:w="73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b/>
                <w:bCs/>
                <w:color w:val="auto"/>
                <w:kern w:val="0"/>
                <w:szCs w:val="21"/>
                <w:highlight w:val="none"/>
              </w:rPr>
              <w:t>√</w:t>
            </w:r>
          </w:p>
        </w:tc>
      </w:tr>
    </w:tbl>
    <w:p>
      <w:pPr>
        <w:spacing w:line="360" w:lineRule="auto"/>
        <w:rPr>
          <w:rFonts w:hint="default" w:ascii="Times New Roman" w:hAnsi="Times New Roman" w:cs="Times New Roman"/>
          <w:color w:val="auto"/>
          <w:sz w:val="24"/>
          <w:highlight w:val="none"/>
        </w:rPr>
      </w:pPr>
    </w:p>
    <w:p>
      <w:pPr>
        <w:rPr>
          <w:rFonts w:hint="default" w:ascii="Times New Roman" w:hAnsi="Times New Roman" w:cs="Times New Roman"/>
          <w:color w:val="auto"/>
          <w:sz w:val="24"/>
          <w:highlight w:val="none"/>
        </w:rPr>
      </w:pPr>
    </w:p>
    <w:p>
      <w:pPr>
        <w:spacing w:line="360" w:lineRule="auto"/>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夜景照明灯具眩光</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2268"/>
        <w:gridCol w:w="2268"/>
        <w:gridCol w:w="18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步行区夜景照明灯具的眩光限制值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安装高度H（m）</w:t>
            </w:r>
          </w:p>
        </w:tc>
        <w:tc>
          <w:tcPr>
            <w:tcW w:w="22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H≤4.5</w:t>
            </w:r>
          </w:p>
        </w:tc>
        <w:tc>
          <w:tcPr>
            <w:tcW w:w="22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4.5＜H≤6</w:t>
            </w:r>
          </w:p>
        </w:tc>
        <w:tc>
          <w:tcPr>
            <w:tcW w:w="184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H＞6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L与A</w:t>
            </w:r>
            <w:r>
              <w:rPr>
                <w:rFonts w:hint="default" w:ascii="Times New Roman" w:hAnsi="Times New Roman" w:cs="Times New Roman"/>
                <w:color w:val="auto"/>
                <w:kern w:val="0"/>
                <w:szCs w:val="21"/>
                <w:highlight w:val="none"/>
                <w:vertAlign w:val="superscript"/>
              </w:rPr>
              <w:t>0.5</w:t>
            </w:r>
            <w:r>
              <w:rPr>
                <w:rFonts w:hint="default" w:ascii="Times New Roman" w:hAnsi="Times New Roman" w:cs="Times New Roman"/>
                <w:color w:val="auto"/>
                <w:kern w:val="0"/>
                <w:szCs w:val="21"/>
                <w:highlight w:val="none"/>
              </w:rPr>
              <w:t>的乘积</w:t>
            </w:r>
          </w:p>
        </w:tc>
        <w:tc>
          <w:tcPr>
            <w:tcW w:w="22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LA</w:t>
            </w:r>
            <w:r>
              <w:rPr>
                <w:rFonts w:hint="default" w:ascii="Times New Roman" w:hAnsi="Times New Roman" w:cs="Times New Roman"/>
                <w:color w:val="auto"/>
                <w:kern w:val="0"/>
                <w:szCs w:val="21"/>
                <w:highlight w:val="none"/>
                <w:vertAlign w:val="superscript"/>
              </w:rPr>
              <w:t>0.5</w:t>
            </w:r>
            <w:r>
              <w:rPr>
                <w:rFonts w:hint="default" w:ascii="Times New Roman" w:hAnsi="Times New Roman" w:cs="Times New Roman"/>
                <w:color w:val="auto"/>
                <w:kern w:val="0"/>
                <w:szCs w:val="21"/>
                <w:highlight w:val="none"/>
              </w:rPr>
              <w:t>≤4000</w:t>
            </w:r>
          </w:p>
        </w:tc>
        <w:tc>
          <w:tcPr>
            <w:tcW w:w="22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LA</w:t>
            </w:r>
            <w:r>
              <w:rPr>
                <w:rFonts w:hint="default" w:ascii="Times New Roman" w:hAnsi="Times New Roman" w:cs="Times New Roman"/>
                <w:color w:val="auto"/>
                <w:kern w:val="0"/>
                <w:szCs w:val="21"/>
                <w:highlight w:val="none"/>
                <w:vertAlign w:val="superscript"/>
              </w:rPr>
              <w:t>0.5</w:t>
            </w:r>
            <w:r>
              <w:rPr>
                <w:rFonts w:hint="default" w:ascii="Times New Roman" w:hAnsi="Times New Roman" w:cs="Times New Roman"/>
                <w:color w:val="auto"/>
                <w:kern w:val="0"/>
                <w:szCs w:val="21"/>
                <w:highlight w:val="none"/>
              </w:rPr>
              <w:t>≤5500</w:t>
            </w:r>
          </w:p>
        </w:tc>
        <w:tc>
          <w:tcPr>
            <w:tcW w:w="184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LA</w:t>
            </w:r>
            <w:r>
              <w:rPr>
                <w:rFonts w:hint="default" w:ascii="Times New Roman" w:hAnsi="Times New Roman" w:cs="Times New Roman"/>
                <w:color w:val="auto"/>
                <w:kern w:val="0"/>
                <w:szCs w:val="21"/>
                <w:highlight w:val="none"/>
                <w:vertAlign w:val="superscript"/>
              </w:rPr>
              <w:t>0.5</w:t>
            </w:r>
            <w:r>
              <w:rPr>
                <w:rFonts w:hint="default" w:ascii="Times New Roman" w:hAnsi="Times New Roman" w:cs="Times New Roman"/>
                <w:color w:val="auto"/>
                <w:kern w:val="0"/>
                <w:szCs w:val="21"/>
                <w:highlight w:val="none"/>
              </w:rPr>
              <w:t>≤7000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项目情况</w:t>
            </w:r>
          </w:p>
        </w:tc>
        <w:tc>
          <w:tcPr>
            <w:tcW w:w="22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≤4000</w:t>
            </w:r>
          </w:p>
        </w:tc>
        <w:tc>
          <w:tcPr>
            <w:tcW w:w="226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≤5500</w:t>
            </w:r>
          </w:p>
        </w:tc>
        <w:tc>
          <w:tcPr>
            <w:tcW w:w="184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≤7000</w:t>
            </w:r>
          </w:p>
        </w:tc>
      </w:tr>
    </w:tbl>
    <w:p>
      <w:pPr>
        <w:spacing w:line="360" w:lineRule="auto"/>
        <w:rPr>
          <w:rFonts w:hint="default" w:ascii="Times New Roman" w:hAnsi="Times New Roman" w:cs="Times New Roman"/>
          <w:color w:val="auto"/>
          <w:sz w:val="24"/>
          <w:highlight w:val="none"/>
        </w:rPr>
      </w:pP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建筑及照明设计控制光污染措施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8" w:hRule="atLeast"/>
          <w:jc w:val="center"/>
        </w:trPr>
        <w:tc>
          <w:tcPr>
            <w:tcW w:w="8505"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在夜景照明设计中宜采用以下的措施，避免光污染的产生:</w:t>
            </w:r>
          </w:p>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(1)玻璃幕墙、铝塑板墙、釉面砖墙或其他具有光滑表面的建筑物不采用投光照明设计;</w:t>
            </w:r>
          </w:p>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(2)宿舍楼不采用泛光照明;</w:t>
            </w:r>
          </w:p>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kern w:val="0"/>
                <w:szCs w:val="21"/>
                <w:highlight w:val="none"/>
              </w:rPr>
              <w:t>3</w:t>
            </w:r>
            <w:r>
              <w:rPr>
                <w:rFonts w:hint="default" w:ascii="Times New Roman" w:hAnsi="Times New Roman" w:cs="Times New Roman"/>
                <w:color w:val="auto"/>
                <w:kern w:val="0"/>
                <w:szCs w:val="21"/>
                <w:highlight w:val="none"/>
              </w:rPr>
              <w:t>)绿化景观的投光照明采用间接式投光减少光线直射形成的光;</w:t>
            </w:r>
          </w:p>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kern w:val="0"/>
                <w:szCs w:val="21"/>
                <w:highlight w:val="none"/>
              </w:rPr>
              <w:t>4</w:t>
            </w:r>
            <w:r>
              <w:rPr>
                <w:rFonts w:hint="default" w:ascii="Times New Roman" w:hAnsi="Times New Roman" w:cs="Times New Roman"/>
                <w:color w:val="auto"/>
                <w:kern w:val="0"/>
                <w:szCs w:val="21"/>
                <w:highlight w:val="none"/>
              </w:rPr>
              <w:t>)在满足照明要求的前提下减小灯具功率。</w:t>
            </w:r>
          </w:p>
        </w:tc>
      </w:tr>
    </w:tbl>
    <w:p>
      <w:pPr>
        <w:rPr>
          <w:rFonts w:hint="default" w:ascii="Times New Roman" w:hAnsi="Times New Roman" w:cs="Times New Roman"/>
          <w:color w:val="auto"/>
          <w:highlight w:val="none"/>
        </w:rPr>
      </w:pPr>
      <w:bookmarkStart w:id="34" w:name="_Toc391477874"/>
      <w:bookmarkStart w:id="35" w:name="_Toc382465314"/>
      <w:bookmarkStart w:id="36" w:name="_Toc381708767"/>
      <w:bookmarkStart w:id="37" w:name="_Toc391469264"/>
      <w:bookmarkStart w:id="38" w:name="_Toc381708589"/>
      <w:bookmarkStart w:id="39" w:name="_Toc384284839"/>
      <w:bookmarkStart w:id="40" w:name="_Toc381708532"/>
    </w:p>
    <w:p>
      <w:pPr>
        <w:pStyle w:val="3"/>
        <w:numPr>
          <w:ilvl w:val="2"/>
          <w:numId w:val="3"/>
        </w:numPr>
        <w:spacing w:after="156"/>
        <w:rPr>
          <w:rFonts w:hint="default" w:ascii="Times New Roman" w:hAnsi="Times New Roman" w:cs="Times New Roman"/>
          <w:color w:val="auto"/>
          <w:highlight w:val="none"/>
        </w:rPr>
      </w:pPr>
      <w:bookmarkStart w:id="41" w:name="_Toc124520235"/>
      <w:bookmarkStart w:id="42" w:name="_Toc2811"/>
      <w:r>
        <w:rPr>
          <w:rFonts w:hint="default" w:ascii="Times New Roman" w:hAnsi="Times New Roman" w:cs="Times New Roman"/>
          <w:color w:val="auto"/>
          <w:highlight w:val="none"/>
        </w:rPr>
        <w:t>室外风环境</w:t>
      </w:r>
      <w:bookmarkEnd w:id="41"/>
      <w:bookmarkEnd w:id="42"/>
    </w:p>
    <w:p>
      <w:pPr>
        <w:spacing w:line="360" w:lineRule="auto"/>
        <w:ind w:firstLine="420"/>
        <w:rPr>
          <w:rFonts w:hint="default" w:ascii="Times New Roman" w:hAnsi="Times New Roman" w:eastAsia="宋体" w:cs="Times New Roman"/>
          <w:color w:val="auto"/>
          <w:sz w:val="24"/>
          <w:szCs w:val="24"/>
          <w:highlight w:val="none"/>
          <w:lang w:val="en-US" w:eastAsia="zh-CN"/>
        </w:rPr>
      </w:pPr>
      <w:r>
        <w:rPr>
          <w:rFonts w:hint="default" w:ascii="Times New Roman" w:hAnsi="Times New Roman" w:cs="Times New Roman"/>
          <w:color w:val="auto"/>
          <w:sz w:val="24"/>
          <w:szCs w:val="24"/>
          <w:highlight w:val="none"/>
        </w:rPr>
        <w:t>建筑物周围人行区距地1.5m处风速（m/s）：</w:t>
      </w:r>
      <w:r>
        <w:rPr>
          <w:rFonts w:hint="default" w:ascii="Times New Roman" w:hAnsi="Times New Roman" w:cs="Times New Roman"/>
          <w:color w:val="auto"/>
          <w:sz w:val="24"/>
          <w:szCs w:val="24"/>
          <w:highlight w:val="none"/>
          <w:u w:val="single"/>
          <w:lang w:val="en-US" w:eastAsia="zh-CN"/>
        </w:rPr>
        <w:t>1.23</w:t>
      </w:r>
    </w:p>
    <w:p>
      <w:pPr>
        <w:spacing w:line="360" w:lineRule="auto"/>
        <w:ind w:firstLine="420"/>
        <w:rPr>
          <w:rFonts w:hint="default" w:ascii="Times New Roman" w:hAnsi="Times New Roman" w:cs="Times New Roman"/>
          <w:color w:val="auto"/>
          <w:sz w:val="24"/>
          <w:szCs w:val="24"/>
          <w:highlight w:val="none"/>
          <w:lang w:val="en-US"/>
        </w:rPr>
      </w:pPr>
      <w:r>
        <w:rPr>
          <w:rFonts w:hint="default" w:ascii="Times New Roman" w:hAnsi="Times New Roman" w:cs="Times New Roman"/>
          <w:color w:val="auto"/>
          <w:sz w:val="24"/>
          <w:szCs w:val="24"/>
          <w:highlight w:val="none"/>
        </w:rPr>
        <w:t>户外休息区、儿童娱乐区风速（m/s）：</w:t>
      </w:r>
      <w:r>
        <w:rPr>
          <w:rFonts w:hint="default" w:ascii="Times New Roman" w:hAnsi="Times New Roman" w:cs="Times New Roman"/>
          <w:color w:val="auto"/>
          <w:sz w:val="24"/>
          <w:szCs w:val="24"/>
          <w:highlight w:val="none"/>
          <w:u w:val="single"/>
          <w:lang w:val="en-US" w:eastAsia="zh-CN"/>
        </w:rPr>
        <w:t>1.23</w:t>
      </w:r>
    </w:p>
    <w:p>
      <w:pPr>
        <w:spacing w:line="360" w:lineRule="auto"/>
        <w:ind w:firstLine="420"/>
        <w:rPr>
          <w:rFonts w:hint="default" w:ascii="Times New Roman" w:hAnsi="Times New Roman" w:eastAsia="宋体" w:cs="Times New Roman"/>
          <w:color w:val="auto"/>
          <w:sz w:val="24"/>
          <w:szCs w:val="24"/>
          <w:highlight w:val="none"/>
          <w:lang w:val="en-US" w:eastAsia="zh-CN"/>
        </w:rPr>
      </w:pPr>
      <w:r>
        <w:rPr>
          <w:rFonts w:hint="default" w:ascii="Times New Roman" w:hAnsi="Times New Roman" w:cs="Times New Roman"/>
          <w:color w:val="auto"/>
          <w:sz w:val="24"/>
          <w:szCs w:val="24"/>
          <w:highlight w:val="none"/>
        </w:rPr>
        <w:t>风速放大系数：</w:t>
      </w:r>
      <w:r>
        <w:rPr>
          <w:rFonts w:hint="default" w:ascii="Times New Roman" w:hAnsi="Times New Roman" w:cs="Times New Roman"/>
          <w:color w:val="auto"/>
          <w:sz w:val="24"/>
          <w:szCs w:val="24"/>
          <w:highlight w:val="none"/>
          <w:u w:val="single"/>
          <w:lang w:val="en-US" w:eastAsia="zh-CN"/>
        </w:rPr>
        <w:t>0.858</w:t>
      </w:r>
    </w:p>
    <w:p>
      <w:pPr>
        <w:spacing w:line="360" w:lineRule="auto"/>
        <w:ind w:firstLine="420"/>
        <w:rPr>
          <w:rFonts w:hint="default" w:ascii="Times New Roman" w:hAnsi="Times New Roman" w:eastAsia="宋体" w:cs="Times New Roman"/>
          <w:color w:val="auto"/>
          <w:sz w:val="24"/>
          <w:szCs w:val="24"/>
          <w:highlight w:val="none"/>
          <w:lang w:eastAsia="zh-CN"/>
        </w:rPr>
      </w:pPr>
      <w:r>
        <w:rPr>
          <w:rFonts w:hint="default" w:ascii="Times New Roman" w:hAnsi="Times New Roman" w:cs="Times New Roman"/>
          <w:color w:val="auto"/>
          <w:sz w:val="24"/>
          <w:szCs w:val="24"/>
          <w:highlight w:val="none"/>
        </w:rPr>
        <w:t>除迎风面第一排建筑外，冬季建筑迎风面与背风面表面风压差（Pa）：</w:t>
      </w:r>
      <w:r>
        <w:rPr>
          <w:rFonts w:hint="default" w:ascii="Times New Roman" w:hAnsi="Times New Roman" w:cs="Times New Roman"/>
          <w:color w:val="auto"/>
          <w:sz w:val="24"/>
          <w:szCs w:val="24"/>
          <w:highlight w:val="none"/>
          <w:u w:val="single"/>
        </w:rPr>
        <w:t>冬季工况下除迎风第一排建筑外，建筑迎风面与背风面表面风压差不超过5Pa</w:t>
      </w:r>
      <w:r>
        <w:rPr>
          <w:rFonts w:hint="default" w:ascii="Times New Roman" w:hAnsi="Times New Roman" w:cs="Times New Roman"/>
          <w:color w:val="auto"/>
          <w:sz w:val="24"/>
          <w:szCs w:val="24"/>
          <w:highlight w:val="none"/>
          <w:u w:val="single"/>
          <w:lang w:eastAsia="zh-CN"/>
        </w:rPr>
        <w:t>。</w:t>
      </w:r>
    </w:p>
    <w:p>
      <w:pPr>
        <w:spacing w:line="360" w:lineRule="auto"/>
        <w:ind w:firstLine="42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场地内人活动区出现漩涡或无风区：□有■无</w:t>
      </w:r>
    </w:p>
    <w:p>
      <w:pPr>
        <w:spacing w:line="360" w:lineRule="auto"/>
        <w:ind w:firstLine="42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室内外表面的风压差大于0.5Pa的可开启外窗的面积比例：</w:t>
      </w:r>
      <w:r>
        <w:rPr>
          <w:rFonts w:hint="default" w:ascii="Times New Roman" w:hAnsi="Times New Roman" w:cs="Times New Roman"/>
          <w:color w:val="auto"/>
          <w:sz w:val="24"/>
          <w:highlight w:val="none"/>
          <w:u w:val="single"/>
          <w:lang w:val="en-US" w:eastAsia="zh-CN"/>
        </w:rPr>
        <w:t>70.44</w:t>
      </w:r>
      <w:r>
        <w:rPr>
          <w:rFonts w:hint="default" w:ascii="Times New Roman" w:hAnsi="Times New Roman" w:cs="Times New Roman"/>
          <w:color w:val="auto"/>
          <w:sz w:val="24"/>
          <w:highlight w:val="none"/>
          <w:u w:val="single"/>
        </w:rPr>
        <w:t>%</w:t>
      </w:r>
      <w:r>
        <w:rPr>
          <w:rFonts w:hint="default" w:ascii="Times New Roman" w:hAnsi="Times New Roman" w:cs="Times New Roman"/>
          <w:color w:val="auto"/>
          <w:sz w:val="24"/>
          <w:highlight w:val="none"/>
          <w:u w:val="single"/>
        </w:rPr>
        <w:t>。</w:t>
      </w:r>
    </w:p>
    <w:tbl>
      <w:tblPr>
        <w:tblStyle w:val="15"/>
        <w:tblW w:w="0" w:type="auto"/>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autofit"/>
        <w:tblCellMar>
          <w:top w:w="0" w:type="dxa"/>
          <w:left w:w="108" w:type="dxa"/>
          <w:bottom w:w="0" w:type="dxa"/>
          <w:right w:w="108" w:type="dxa"/>
        </w:tblCellMar>
      </w:tblPr>
      <w:tblGrid>
        <w:gridCol w:w="2864"/>
        <w:gridCol w:w="1368"/>
        <w:gridCol w:w="2393"/>
        <w:gridCol w:w="1102"/>
        <w:gridCol w:w="795"/>
      </w:tblGrid>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2864" w:type="dxa"/>
            <w:shd w:val="clear" w:color="auto" w:fill="E6E6E6"/>
            <w:vAlign w:val="center"/>
          </w:tcPr>
          <w:p>
            <w:pPr>
              <w:spacing w:line="360" w:lineRule="exact"/>
              <w:jc w:val="center"/>
              <w:rPr>
                <w:rFonts w:hint="default" w:ascii="Times New Roman" w:hAnsi="Times New Roman" w:cs="Times New Roman" w:eastAsiaTheme="minorEastAsia"/>
                <w:color w:val="auto"/>
                <w:highlight w:val="none"/>
              </w:rPr>
            </w:pPr>
            <w:r>
              <w:rPr>
                <w:rFonts w:hint="default" w:ascii="Times New Roman" w:hAnsi="Times New Roman" w:cs="Times New Roman" w:eastAsiaTheme="minorEastAsia"/>
                <w:color w:val="auto"/>
                <w:highlight w:val="none"/>
              </w:rPr>
              <w:t>建筑编号</w:t>
            </w:r>
          </w:p>
        </w:tc>
        <w:tc>
          <w:tcPr>
            <w:tcW w:w="1368" w:type="dxa"/>
            <w:shd w:val="clear" w:color="auto" w:fill="E6E6E6"/>
            <w:vAlign w:val="center"/>
          </w:tcPr>
          <w:p>
            <w:pPr>
              <w:spacing w:line="360" w:lineRule="exact"/>
              <w:jc w:val="center"/>
              <w:rPr>
                <w:rFonts w:hint="default" w:ascii="Times New Roman" w:hAnsi="Times New Roman" w:cs="Times New Roman" w:eastAsiaTheme="minorEastAsia"/>
                <w:color w:val="auto"/>
                <w:highlight w:val="none"/>
              </w:rPr>
            </w:pPr>
            <w:r>
              <w:rPr>
                <w:rFonts w:hint="default" w:ascii="Times New Roman" w:hAnsi="Times New Roman" w:cs="Times New Roman" w:eastAsiaTheme="minorEastAsia"/>
                <w:color w:val="auto"/>
                <w:highlight w:val="none"/>
              </w:rPr>
              <w:t>建筑表面积（㎡）</w:t>
            </w:r>
          </w:p>
        </w:tc>
        <w:tc>
          <w:tcPr>
            <w:tcW w:w="2393" w:type="dxa"/>
            <w:shd w:val="clear" w:color="auto" w:fill="E6E6E6"/>
            <w:vAlign w:val="center"/>
          </w:tcPr>
          <w:p>
            <w:pPr>
              <w:spacing w:line="360" w:lineRule="exact"/>
              <w:jc w:val="center"/>
              <w:rPr>
                <w:rFonts w:hint="default" w:ascii="Times New Roman" w:hAnsi="Times New Roman" w:cs="Times New Roman" w:eastAsiaTheme="minorEastAsia"/>
                <w:color w:val="auto"/>
                <w:highlight w:val="none"/>
              </w:rPr>
            </w:pPr>
            <w:r>
              <w:rPr>
                <w:rFonts w:hint="default" w:ascii="Times New Roman" w:hAnsi="Times New Roman" w:cs="Times New Roman" w:eastAsiaTheme="minorEastAsia"/>
                <w:color w:val="auto"/>
                <w:highlight w:val="none"/>
              </w:rPr>
              <w:t>室内外风压差大于</w:t>
            </w:r>
            <w:r>
              <w:rPr>
                <w:rFonts w:hint="default" w:ascii="Times New Roman" w:hAnsi="Times New Roman" w:cs="Times New Roman" w:eastAsiaTheme="minorEastAsia"/>
                <w:color w:val="auto"/>
                <w:highlight w:val="none"/>
              </w:rPr>
              <w:t>0.5Pa</w:t>
            </w:r>
            <w:r>
              <w:rPr>
                <w:rFonts w:hint="default" w:ascii="Times New Roman" w:hAnsi="Times New Roman" w:cs="Times New Roman" w:eastAsiaTheme="minorEastAsia"/>
                <w:color w:val="auto"/>
                <w:highlight w:val="none"/>
              </w:rPr>
              <w:t>的建筑表面积（㎡）</w:t>
            </w:r>
          </w:p>
        </w:tc>
        <w:tc>
          <w:tcPr>
            <w:tcW w:w="1102" w:type="dxa"/>
            <w:shd w:val="clear" w:color="auto" w:fill="E6E6E6"/>
            <w:vAlign w:val="center"/>
          </w:tcPr>
          <w:p>
            <w:pPr>
              <w:spacing w:line="360" w:lineRule="exact"/>
              <w:jc w:val="center"/>
              <w:rPr>
                <w:rFonts w:hint="default" w:ascii="Times New Roman" w:hAnsi="Times New Roman" w:cs="Times New Roman" w:eastAsiaTheme="minorEastAsia"/>
                <w:color w:val="auto"/>
                <w:highlight w:val="none"/>
              </w:rPr>
            </w:pPr>
            <w:r>
              <w:rPr>
                <w:rFonts w:hint="default" w:ascii="Times New Roman" w:hAnsi="Times New Roman" w:cs="Times New Roman" w:eastAsiaTheme="minorEastAsia"/>
                <w:color w:val="auto"/>
                <w:highlight w:val="none"/>
              </w:rPr>
              <w:t>达标比例（</w:t>
            </w:r>
            <w:r>
              <w:rPr>
                <w:rFonts w:hint="default" w:ascii="Times New Roman" w:hAnsi="Times New Roman" w:cs="Times New Roman" w:eastAsiaTheme="minorEastAsia"/>
                <w:color w:val="auto"/>
                <w:highlight w:val="none"/>
              </w:rPr>
              <w:t>%</w:t>
            </w:r>
            <w:r>
              <w:rPr>
                <w:rFonts w:hint="default" w:ascii="Times New Roman" w:hAnsi="Times New Roman" w:cs="Times New Roman" w:eastAsiaTheme="minorEastAsia"/>
                <w:color w:val="auto"/>
                <w:highlight w:val="none"/>
              </w:rPr>
              <w:t>）</w:t>
            </w:r>
          </w:p>
        </w:tc>
        <w:tc>
          <w:tcPr>
            <w:tcW w:w="795" w:type="dxa"/>
            <w:shd w:val="clear" w:color="auto" w:fill="E6E6E6"/>
            <w:vAlign w:val="center"/>
          </w:tcPr>
          <w:p>
            <w:pPr>
              <w:spacing w:line="360" w:lineRule="exact"/>
              <w:jc w:val="center"/>
              <w:rPr>
                <w:rFonts w:hint="default" w:ascii="Times New Roman" w:hAnsi="Times New Roman" w:cs="Times New Roman" w:eastAsiaTheme="minorEastAsia"/>
                <w:color w:val="auto"/>
                <w:highlight w:val="none"/>
              </w:rPr>
            </w:pPr>
            <w:r>
              <w:rPr>
                <w:rFonts w:hint="default" w:ascii="Times New Roman" w:hAnsi="Times New Roman" w:cs="Times New Roman" w:eastAsiaTheme="minorEastAsia"/>
                <w:color w:val="auto"/>
                <w:highlight w:val="none"/>
              </w:rPr>
              <w:t>是否达标</w:t>
            </w:r>
          </w:p>
        </w:tc>
      </w:tr>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2864" w:type="dxa"/>
            <w:vAlign w:val="center"/>
          </w:tcPr>
          <w:p>
            <w:pPr>
              <w:spacing w:line="360"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2#门卫</w:t>
            </w:r>
          </w:p>
        </w:tc>
        <w:tc>
          <w:tcPr>
            <w:tcW w:w="1368" w:type="dxa"/>
            <w:vAlign w:val="center"/>
          </w:tcPr>
          <w:p>
            <w:pPr>
              <w:spacing w:line="360"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268.92</w:t>
            </w:r>
          </w:p>
        </w:tc>
        <w:tc>
          <w:tcPr>
            <w:tcW w:w="2393" w:type="dxa"/>
            <w:vAlign w:val="center"/>
          </w:tcPr>
          <w:p>
            <w:pPr>
              <w:spacing w:line="360"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0.00</w:t>
            </w:r>
          </w:p>
        </w:tc>
        <w:tc>
          <w:tcPr>
            <w:tcW w:w="1102" w:type="dxa"/>
            <w:vAlign w:val="center"/>
          </w:tcPr>
          <w:p>
            <w:pPr>
              <w:spacing w:line="360"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0.00</w:t>
            </w:r>
          </w:p>
        </w:tc>
        <w:tc>
          <w:tcPr>
            <w:tcW w:w="795" w:type="dxa"/>
            <w:vAlign w:val="center"/>
          </w:tcPr>
          <w:p>
            <w:pPr>
              <w:spacing w:line="360"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否</w:t>
            </w:r>
          </w:p>
        </w:tc>
      </w:tr>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2864" w:type="dxa"/>
            <w:vAlign w:val="center"/>
          </w:tcPr>
          <w:p>
            <w:pPr>
              <w:spacing w:line="360"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扩建综合教学楼</w:t>
            </w:r>
          </w:p>
        </w:tc>
        <w:tc>
          <w:tcPr>
            <w:tcW w:w="1368" w:type="dxa"/>
            <w:vAlign w:val="center"/>
          </w:tcPr>
          <w:p>
            <w:pPr>
              <w:spacing w:line="360"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4569.73</w:t>
            </w:r>
          </w:p>
        </w:tc>
        <w:tc>
          <w:tcPr>
            <w:tcW w:w="2393" w:type="dxa"/>
            <w:vAlign w:val="center"/>
          </w:tcPr>
          <w:p>
            <w:pPr>
              <w:spacing w:line="360"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3408.25</w:t>
            </w:r>
          </w:p>
        </w:tc>
        <w:tc>
          <w:tcPr>
            <w:tcW w:w="1102" w:type="dxa"/>
            <w:vAlign w:val="center"/>
          </w:tcPr>
          <w:p>
            <w:pPr>
              <w:spacing w:line="360"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74.58</w:t>
            </w:r>
          </w:p>
        </w:tc>
        <w:tc>
          <w:tcPr>
            <w:tcW w:w="795" w:type="dxa"/>
            <w:vAlign w:val="center"/>
          </w:tcPr>
          <w:p>
            <w:pPr>
              <w:spacing w:line="360"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是</w:t>
            </w:r>
          </w:p>
        </w:tc>
      </w:tr>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2864"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合计</w:t>
            </w:r>
          </w:p>
        </w:tc>
        <w:tc>
          <w:tcPr>
            <w:tcW w:w="1368" w:type="dxa"/>
            <w:vAlign w:val="bottom"/>
          </w:tcPr>
          <w:p>
            <w:pPr>
              <w:spacing w:line="360"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eastAsia="zh-CN"/>
              </w:rPr>
              <w:t>4838.65</w:t>
            </w:r>
          </w:p>
        </w:tc>
        <w:tc>
          <w:tcPr>
            <w:tcW w:w="2393" w:type="dxa"/>
            <w:vAlign w:val="bottom"/>
          </w:tcPr>
          <w:p>
            <w:pPr>
              <w:spacing w:line="360"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eastAsia="zh-CN"/>
              </w:rPr>
              <w:t>3408.25</w:t>
            </w:r>
          </w:p>
        </w:tc>
        <w:tc>
          <w:tcPr>
            <w:tcW w:w="1102"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70.44</w:t>
            </w:r>
          </w:p>
        </w:tc>
        <w:tc>
          <w:tcPr>
            <w:tcW w:w="795" w:type="dxa"/>
            <w:vAlign w:val="center"/>
          </w:tcPr>
          <w:p>
            <w:pPr>
              <w:spacing w:line="360"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是</w:t>
            </w:r>
          </w:p>
        </w:tc>
      </w:tr>
    </w:tbl>
    <w:p>
      <w:pPr>
        <w:spacing w:line="360" w:lineRule="auto"/>
        <w:ind w:firstLine="42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详见风环境模拟报告。</w:t>
      </w:r>
    </w:p>
    <w:p>
      <w:pPr>
        <w:rPr>
          <w:rFonts w:hint="default" w:ascii="Times New Roman" w:hAnsi="Times New Roman" w:cs="Times New Roman"/>
          <w:color w:val="auto"/>
          <w:highlight w:val="none"/>
        </w:rPr>
      </w:pPr>
      <w:bookmarkStart w:id="43" w:name="_Toc17534"/>
    </w:p>
    <w:p>
      <w:pPr>
        <w:pStyle w:val="3"/>
        <w:numPr>
          <w:ilvl w:val="2"/>
          <w:numId w:val="3"/>
        </w:numPr>
        <w:spacing w:after="156"/>
        <w:rPr>
          <w:rFonts w:hint="default" w:ascii="Times New Roman" w:hAnsi="Times New Roman" w:cs="Times New Roman"/>
          <w:color w:val="auto"/>
          <w:highlight w:val="none"/>
        </w:rPr>
      </w:pPr>
      <w:bookmarkStart w:id="44" w:name="_Toc124520236"/>
      <w:r>
        <w:rPr>
          <w:rFonts w:hint="default" w:ascii="Times New Roman" w:hAnsi="Times New Roman" w:cs="Times New Roman"/>
          <w:color w:val="auto"/>
          <w:highlight w:val="none"/>
        </w:rPr>
        <w:t>室外热环境</w:t>
      </w:r>
      <w:bookmarkEnd w:id="43"/>
      <w:r>
        <w:rPr>
          <w:rFonts w:hint="default" w:ascii="Times New Roman" w:hAnsi="Times New Roman" w:cs="Times New Roman"/>
          <w:color w:val="auto"/>
          <w:highlight w:val="none"/>
        </w:rPr>
        <w:t>（不得分）</w:t>
      </w:r>
      <w:bookmarkEnd w:id="44"/>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6085"/>
        <w:gridCol w:w="11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降低热岛措施1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室外活动场地内的遮阴措施：□乔木□构筑物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类型</w:t>
            </w:r>
          </w:p>
        </w:tc>
        <w:tc>
          <w:tcPr>
            <w:tcW w:w="608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项目</w:t>
            </w:r>
          </w:p>
        </w:tc>
        <w:tc>
          <w:tcPr>
            <w:tcW w:w="114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处于建筑阴影区外的场地遮阴措施</w:t>
            </w:r>
          </w:p>
        </w:tc>
        <w:tc>
          <w:tcPr>
            <w:tcW w:w="6085" w:type="dxa"/>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户外活动场地面积（㎡）</w:t>
            </w:r>
          </w:p>
        </w:tc>
        <w:tc>
          <w:tcPr>
            <w:tcW w:w="114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continue"/>
          </w:tcPr>
          <w:p>
            <w:pPr>
              <w:spacing w:line="360" w:lineRule="auto"/>
              <w:rPr>
                <w:rFonts w:hint="default" w:ascii="Times New Roman" w:hAnsi="Times New Roman" w:cs="Times New Roman"/>
                <w:color w:val="auto"/>
                <w:kern w:val="0"/>
                <w:szCs w:val="21"/>
                <w:highlight w:val="none"/>
              </w:rPr>
            </w:pPr>
          </w:p>
        </w:tc>
        <w:tc>
          <w:tcPr>
            <w:tcW w:w="6085" w:type="dxa"/>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户外活动场地内乔木遮阴措施的面积（㎡）</w:t>
            </w:r>
          </w:p>
        </w:tc>
        <w:tc>
          <w:tcPr>
            <w:tcW w:w="114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continue"/>
          </w:tcPr>
          <w:p>
            <w:pPr>
              <w:spacing w:line="360" w:lineRule="auto"/>
              <w:rPr>
                <w:rFonts w:hint="default" w:ascii="Times New Roman" w:hAnsi="Times New Roman" w:cs="Times New Roman"/>
                <w:color w:val="auto"/>
                <w:kern w:val="0"/>
                <w:szCs w:val="21"/>
                <w:highlight w:val="none"/>
              </w:rPr>
            </w:pPr>
          </w:p>
        </w:tc>
        <w:tc>
          <w:tcPr>
            <w:tcW w:w="6085" w:type="dxa"/>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户外活动场地内构筑物遮阴措施的面积（㎡）</w:t>
            </w:r>
          </w:p>
        </w:tc>
        <w:tc>
          <w:tcPr>
            <w:tcW w:w="114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continue"/>
          </w:tcPr>
          <w:p>
            <w:pPr>
              <w:spacing w:line="360" w:lineRule="auto"/>
              <w:rPr>
                <w:rFonts w:hint="default" w:ascii="Times New Roman" w:hAnsi="Times New Roman" w:cs="Times New Roman"/>
                <w:color w:val="auto"/>
                <w:kern w:val="0"/>
                <w:szCs w:val="21"/>
                <w:highlight w:val="none"/>
              </w:rPr>
            </w:pPr>
          </w:p>
        </w:tc>
        <w:tc>
          <w:tcPr>
            <w:tcW w:w="6085" w:type="dxa"/>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户外活动场地内有乔木、构筑物遮阴措施的面积比例（%）</w:t>
            </w:r>
          </w:p>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（公共建筑不应小于10%；二星级公共建筑不应小于20%）</w:t>
            </w:r>
          </w:p>
        </w:tc>
        <w:tc>
          <w:tcPr>
            <w:tcW w:w="114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注：1）详见乔木种植平面图、乔木苗木表、户外活动场地遮阴面积比例计算书。</w:t>
            </w:r>
          </w:p>
          <w:p>
            <w:pPr>
              <w:spacing w:line="360" w:lineRule="auto"/>
              <w:ind w:firstLine="420" w:firstLineChars="200"/>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2）建筑阴影区为夏至日8:00-16:00时段在4h日照等时线内的区域。</w:t>
            </w:r>
          </w:p>
        </w:tc>
      </w:tr>
    </w:tbl>
    <w:p>
      <w:pPr>
        <w:spacing w:line="360" w:lineRule="auto"/>
        <w:ind w:firstLine="420"/>
        <w:rPr>
          <w:rFonts w:hint="default" w:ascii="Times New Roman" w:hAnsi="Times New Roman" w:cs="Times New Roman"/>
          <w:color w:val="auto"/>
          <w:sz w:val="24"/>
          <w:szCs w:val="24"/>
          <w:highlight w:val="none"/>
        </w:rPr>
      </w:pP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6095"/>
        <w:gridCol w:w="11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05"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降低热岛措施2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类型</w:t>
            </w:r>
          </w:p>
        </w:tc>
        <w:tc>
          <w:tcPr>
            <w:tcW w:w="609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项目</w:t>
            </w:r>
          </w:p>
        </w:tc>
        <w:tc>
          <w:tcPr>
            <w:tcW w:w="113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路面遮阴措施</w:t>
            </w:r>
          </w:p>
        </w:tc>
        <w:tc>
          <w:tcPr>
            <w:tcW w:w="6095" w:type="dxa"/>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太阳辐射反射系数</w:t>
            </w:r>
          </w:p>
        </w:tc>
        <w:tc>
          <w:tcPr>
            <w:tcW w:w="113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271" w:type="dxa"/>
            <w:vMerge w:val="continue"/>
          </w:tcPr>
          <w:p>
            <w:pPr>
              <w:spacing w:line="360" w:lineRule="auto"/>
              <w:rPr>
                <w:rFonts w:hint="default" w:ascii="Times New Roman" w:hAnsi="Times New Roman" w:cs="Times New Roman"/>
                <w:color w:val="auto"/>
                <w:kern w:val="0"/>
                <w:szCs w:val="21"/>
                <w:highlight w:val="none"/>
              </w:rPr>
            </w:pPr>
          </w:p>
        </w:tc>
        <w:tc>
          <w:tcPr>
            <w:tcW w:w="6095" w:type="dxa"/>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行道树的路段总长度（m）</w:t>
            </w:r>
          </w:p>
        </w:tc>
        <w:tc>
          <w:tcPr>
            <w:tcW w:w="113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continue"/>
          </w:tcPr>
          <w:p>
            <w:pPr>
              <w:spacing w:line="360" w:lineRule="auto"/>
              <w:rPr>
                <w:rFonts w:hint="default" w:ascii="Times New Roman" w:hAnsi="Times New Roman" w:cs="Times New Roman"/>
                <w:color w:val="auto"/>
                <w:kern w:val="0"/>
                <w:szCs w:val="21"/>
                <w:highlight w:val="none"/>
              </w:rPr>
            </w:pPr>
          </w:p>
        </w:tc>
        <w:tc>
          <w:tcPr>
            <w:tcW w:w="6095" w:type="dxa"/>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设有遮阴面积较大的行道树的路段长度（m）</w:t>
            </w:r>
          </w:p>
        </w:tc>
        <w:tc>
          <w:tcPr>
            <w:tcW w:w="113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continue"/>
          </w:tcPr>
          <w:p>
            <w:pPr>
              <w:spacing w:line="360" w:lineRule="auto"/>
              <w:rPr>
                <w:rFonts w:hint="default" w:ascii="Times New Roman" w:hAnsi="Times New Roman" w:cs="Times New Roman"/>
                <w:color w:val="auto"/>
                <w:kern w:val="0"/>
                <w:szCs w:val="21"/>
                <w:highlight w:val="none"/>
              </w:rPr>
            </w:pPr>
          </w:p>
        </w:tc>
        <w:tc>
          <w:tcPr>
            <w:tcW w:w="6095" w:type="dxa"/>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设有遮阴面积较大的行道树的路段长度所占比例（%）</w:t>
            </w:r>
          </w:p>
        </w:tc>
        <w:tc>
          <w:tcPr>
            <w:tcW w:w="113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注：1）详见路面遮阴及高反射面积比例计算书。</w:t>
            </w:r>
          </w:p>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2）二星级要求：场地中处于建筑阴影区外的机动车道，路面太阳辐射反射系数不小于0.4或设有遮阴面积较大的行道树的路段长度应超过70%。</w:t>
            </w:r>
          </w:p>
        </w:tc>
      </w:tr>
    </w:tbl>
    <w:p>
      <w:pPr>
        <w:spacing w:line="360" w:lineRule="auto"/>
        <w:ind w:firstLine="420"/>
        <w:rPr>
          <w:rFonts w:hint="default" w:ascii="Times New Roman" w:hAnsi="Times New Roman" w:cs="Times New Roman"/>
          <w:color w:val="auto"/>
          <w:sz w:val="24"/>
          <w:szCs w:val="24"/>
          <w:highlight w:val="none"/>
        </w:rPr>
      </w:pP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6095"/>
        <w:gridCol w:w="11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降低热岛措施3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类型</w:t>
            </w:r>
          </w:p>
        </w:tc>
        <w:tc>
          <w:tcPr>
            <w:tcW w:w="609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项目</w:t>
            </w:r>
          </w:p>
        </w:tc>
        <w:tc>
          <w:tcPr>
            <w:tcW w:w="113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屋面遮阴措施</w:t>
            </w:r>
          </w:p>
        </w:tc>
        <w:tc>
          <w:tcPr>
            <w:tcW w:w="6095" w:type="dxa"/>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建筑屋面面积（㎡）</w:t>
            </w:r>
          </w:p>
        </w:tc>
        <w:tc>
          <w:tcPr>
            <w:tcW w:w="1139" w:type="dxa"/>
            <w:vAlign w:val="center"/>
          </w:tcPr>
          <w:p>
            <w:pPr>
              <w:spacing w:line="360" w:lineRule="auto"/>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702.28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continue"/>
          </w:tcPr>
          <w:p>
            <w:pPr>
              <w:spacing w:line="360" w:lineRule="auto"/>
              <w:rPr>
                <w:rFonts w:hint="default" w:ascii="Times New Roman" w:hAnsi="Times New Roman" w:cs="Times New Roman"/>
                <w:color w:val="auto"/>
                <w:kern w:val="0"/>
                <w:szCs w:val="21"/>
                <w:highlight w:val="none"/>
              </w:rPr>
            </w:pPr>
          </w:p>
        </w:tc>
        <w:tc>
          <w:tcPr>
            <w:tcW w:w="6095" w:type="dxa"/>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屋顶的绿化面积、太阳能板水平投影面积、屋面设备占用面积以及太阳辐射反射系数不小于0.4的屋面面积（㎡）</w:t>
            </w:r>
          </w:p>
        </w:tc>
        <w:tc>
          <w:tcPr>
            <w:tcW w:w="1139"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continue"/>
          </w:tcPr>
          <w:p>
            <w:pPr>
              <w:spacing w:line="360" w:lineRule="auto"/>
              <w:rPr>
                <w:rFonts w:hint="default" w:ascii="Times New Roman" w:hAnsi="Times New Roman" w:cs="Times New Roman"/>
                <w:color w:val="auto"/>
                <w:kern w:val="0"/>
                <w:szCs w:val="21"/>
                <w:highlight w:val="none"/>
              </w:rPr>
            </w:pPr>
          </w:p>
        </w:tc>
        <w:tc>
          <w:tcPr>
            <w:tcW w:w="6095" w:type="dxa"/>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屋顶的绿化面积、太阳能板水平投影面积、屋面设备占用面积以及太阳辐射反射系数不小于0.4的屋面面积所占比例（%）</w:t>
            </w:r>
          </w:p>
        </w:tc>
        <w:tc>
          <w:tcPr>
            <w:tcW w:w="1139"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19.51%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注：详见屋面遮阴及高反射面积比例计算书。</w:t>
            </w:r>
          </w:p>
        </w:tc>
      </w:tr>
    </w:tbl>
    <w:p>
      <w:pPr>
        <w:spacing w:line="360" w:lineRule="auto"/>
        <w:rPr>
          <w:rFonts w:hint="default" w:ascii="Times New Roman" w:hAnsi="Times New Roman" w:cs="Times New Roman"/>
          <w:color w:val="auto"/>
          <w:sz w:val="24"/>
          <w:highlight w:val="none"/>
          <w:u w:val="single"/>
        </w:rPr>
      </w:pPr>
    </w:p>
    <w:p>
      <w:pPr>
        <w:pStyle w:val="3"/>
        <w:numPr>
          <w:ilvl w:val="2"/>
          <w:numId w:val="3"/>
        </w:numPr>
        <w:spacing w:after="156"/>
        <w:rPr>
          <w:rFonts w:hint="default" w:ascii="Times New Roman" w:hAnsi="Times New Roman" w:cs="Times New Roman"/>
          <w:color w:val="auto"/>
          <w:highlight w:val="none"/>
        </w:rPr>
      </w:pPr>
      <w:bookmarkStart w:id="45" w:name="_Toc18122"/>
      <w:bookmarkStart w:id="46" w:name="_Toc124520237"/>
      <w:r>
        <w:rPr>
          <w:rFonts w:hint="default" w:ascii="Times New Roman" w:hAnsi="Times New Roman" w:cs="Times New Roman"/>
          <w:color w:val="auto"/>
          <w:highlight w:val="none"/>
        </w:rPr>
        <w:t>室外声环境</w:t>
      </w:r>
      <w:bookmarkEnd w:id="45"/>
      <w:bookmarkEnd w:id="46"/>
    </w:p>
    <w:p>
      <w:pPr>
        <w:spacing w:line="360" w:lineRule="auto"/>
        <w:ind w:firstLine="42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场地声环境是否满足《声环境质量标准》GB3096的要求：</w:t>
      </w:r>
      <w:r>
        <w:rPr>
          <w:rFonts w:hint="default" w:ascii="Times New Roman" w:hAnsi="Times New Roman" w:cs="Times New Roman"/>
          <w:color w:val="auto"/>
          <w:sz w:val="24"/>
          <w:szCs w:val="24"/>
          <w:highlight w:val="none"/>
        </w:rPr>
        <w:t>■是□否</w:t>
      </w:r>
      <w:r>
        <w:rPr>
          <w:rFonts w:hint="default" w:ascii="Times New Roman" w:hAnsi="Times New Roman" w:cs="Times New Roman"/>
          <w:color w:val="auto"/>
          <w:sz w:val="24"/>
          <w:highlight w:val="none"/>
        </w:rPr>
        <w:t>。</w:t>
      </w:r>
    </w:p>
    <w:p>
      <w:pPr>
        <w:spacing w:line="360" w:lineRule="auto"/>
        <w:ind w:firstLine="42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详见声环境模拟报告。</w:t>
      </w:r>
      <w:bookmarkStart w:id="47" w:name="_Toc18266"/>
    </w:p>
    <w:p>
      <w:pPr>
        <w:pStyle w:val="3"/>
        <w:numPr>
          <w:ilvl w:val="2"/>
          <w:numId w:val="3"/>
        </w:numPr>
        <w:spacing w:after="156"/>
        <w:rPr>
          <w:rFonts w:hint="default" w:ascii="Times New Roman" w:hAnsi="Times New Roman" w:cs="Times New Roman"/>
          <w:color w:val="auto"/>
          <w:highlight w:val="none"/>
        </w:rPr>
      </w:pPr>
      <w:bookmarkStart w:id="48" w:name="_Toc124520238"/>
      <w:r>
        <w:rPr>
          <w:rFonts w:hint="default" w:ascii="Times New Roman" w:hAnsi="Times New Roman" w:cs="Times New Roman"/>
          <w:color w:val="auto"/>
          <w:highlight w:val="none"/>
        </w:rPr>
        <w:t>场地绿化</w:t>
      </w:r>
      <w:bookmarkEnd w:id="47"/>
      <w:bookmarkEnd w:id="48"/>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90"/>
        <w:gridCol w:w="17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2"/>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绿化设计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选用适宜当地气候和土壤条件的乡土植物</w:t>
            </w:r>
          </w:p>
        </w:tc>
        <w:tc>
          <w:tcPr>
            <w:tcW w:w="171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采用包含乔、灌木的复层绿化</w:t>
            </w:r>
          </w:p>
        </w:tc>
        <w:tc>
          <w:tcPr>
            <w:tcW w:w="171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绿化植物种植在地下车库顶板上，则种植区域覆土深度（m）</w:t>
            </w:r>
          </w:p>
        </w:tc>
        <w:tc>
          <w:tcPr>
            <w:tcW w:w="171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地下车库顶板上排水设施情况（疏水板、导水管等）</w:t>
            </w:r>
          </w:p>
        </w:tc>
        <w:tc>
          <w:tcPr>
            <w:tcW w:w="171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是否采用屋顶绿化</w:t>
            </w:r>
          </w:p>
        </w:tc>
        <w:tc>
          <w:tcPr>
            <w:tcW w:w="171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是否采用垂直绿化</w:t>
            </w:r>
          </w:p>
        </w:tc>
        <w:tc>
          <w:tcPr>
            <w:tcW w:w="171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是否利用场地或景观形成可降低坠物风险的缓冲区、隔离带</w:t>
            </w:r>
          </w:p>
        </w:tc>
        <w:tc>
          <w:tcPr>
            <w:tcW w:w="171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2"/>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注：1）乔木覆土深度要求大于1.2m，深根系乔木覆土深度要求大于1.5m。</w:t>
            </w:r>
          </w:p>
        </w:tc>
      </w:tr>
    </w:tbl>
    <w:p>
      <w:pPr>
        <w:spacing w:line="360" w:lineRule="auto"/>
        <w:ind w:firstLine="420"/>
        <w:rPr>
          <w:rFonts w:hint="default" w:ascii="Times New Roman" w:hAnsi="Times New Roman" w:cs="Times New Roman"/>
          <w:color w:val="auto"/>
          <w:sz w:val="24"/>
          <w:szCs w:val="24"/>
          <w:highlight w:val="none"/>
        </w:rPr>
      </w:pP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74"/>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2"/>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绿化用地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7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项目</w:t>
            </w:r>
          </w:p>
        </w:tc>
        <w:tc>
          <w:tcPr>
            <w:tcW w:w="213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公共建筑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74"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绿地面积（㎡）</w:t>
            </w:r>
          </w:p>
        </w:tc>
        <w:tc>
          <w:tcPr>
            <w:tcW w:w="2131"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2"/>
                <w:sz w:val="22"/>
                <w:szCs w:val="22"/>
                <w:u w:val="none"/>
                <w:lang w:val="en-US" w:eastAsia="zh-CN" w:bidi="ar-SA"/>
              </w:rPr>
            </w:pPr>
            <w:r>
              <w:rPr>
                <w:rFonts w:hint="default" w:ascii="Times New Roman" w:hAnsi="Times New Roman" w:cs="Times New Roman"/>
                <w:color w:val="auto"/>
                <w:kern w:val="0"/>
                <w:szCs w:val="21"/>
                <w:highlight w:val="none"/>
                <w:lang w:val="en-US" w:eastAsia="zh-CN"/>
              </w:rPr>
              <w:t>1656.93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74"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用地面积（㎡）</w:t>
            </w:r>
          </w:p>
        </w:tc>
        <w:tc>
          <w:tcPr>
            <w:tcW w:w="2131" w:type="dxa"/>
          </w:tcPr>
          <w:p>
            <w:pPr>
              <w:spacing w:line="360" w:lineRule="auto"/>
              <w:jc w:val="center"/>
              <w:rPr>
                <w:rFonts w:hint="default" w:ascii="Times New Roman" w:hAnsi="Times New Roman" w:eastAsia="宋体" w:cs="Times New Roman"/>
                <w:color w:val="auto"/>
                <w:kern w:val="0"/>
                <w:szCs w:val="21"/>
                <w:highlight w:val="none"/>
                <w:lang w:eastAsia="zh-CN"/>
              </w:rPr>
            </w:pPr>
            <w:r>
              <w:rPr>
                <w:rFonts w:hint="default" w:ascii="Times New Roman" w:hAnsi="Times New Roman" w:cs="Times New Roman"/>
                <w:color w:val="auto"/>
                <w:kern w:val="0"/>
                <w:szCs w:val="21"/>
                <w:highlight w:val="none"/>
                <w:lang w:eastAsia="zh-CN"/>
              </w:rPr>
              <w:t>13807.76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74"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绿地率（%）</w:t>
            </w:r>
          </w:p>
        </w:tc>
        <w:tc>
          <w:tcPr>
            <w:tcW w:w="2131" w:type="dxa"/>
          </w:tcPr>
          <w:p>
            <w:pPr>
              <w:spacing w:line="360" w:lineRule="auto"/>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74"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规划指标要求的绿地率（%）</w:t>
            </w:r>
          </w:p>
        </w:tc>
        <w:tc>
          <w:tcPr>
            <w:tcW w:w="213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en-US" w:eastAsia="zh-CN"/>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74"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绿地率与“规划指标要求的绿地率”的比值</w:t>
            </w:r>
          </w:p>
        </w:tc>
        <w:tc>
          <w:tcPr>
            <w:tcW w:w="213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74"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绿地向公众开放</w:t>
            </w:r>
          </w:p>
        </w:tc>
        <w:tc>
          <w:tcPr>
            <w:tcW w:w="213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注：1）绿地率应达到规划指标的105%及以上。</w:t>
            </w:r>
          </w:p>
          <w:p>
            <w:pPr>
              <w:spacing w:line="360" w:lineRule="auto"/>
              <w:ind w:firstLine="420" w:firstLineChars="200"/>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2）幼儿园、小学、中学、医院等建筑的绿地直接视为对公众开放。</w:t>
            </w:r>
          </w:p>
        </w:tc>
      </w:tr>
    </w:tbl>
    <w:p>
      <w:pPr>
        <w:rPr>
          <w:rFonts w:hint="default" w:ascii="Times New Roman" w:hAnsi="Times New Roman" w:cs="Times New Roman"/>
          <w:color w:val="auto"/>
          <w:highlight w:val="none"/>
        </w:rPr>
      </w:pPr>
      <w:bookmarkStart w:id="49" w:name="_Toc13184"/>
    </w:p>
    <w:bookmarkEnd w:id="49"/>
    <w:p>
      <w:pPr>
        <w:pStyle w:val="3"/>
        <w:numPr>
          <w:ilvl w:val="2"/>
          <w:numId w:val="3"/>
        </w:numPr>
        <w:spacing w:after="156"/>
        <w:rPr>
          <w:rFonts w:hint="default" w:ascii="Times New Roman" w:hAnsi="Times New Roman" w:cs="Times New Roman"/>
          <w:color w:val="auto"/>
          <w:highlight w:val="none"/>
        </w:rPr>
      </w:pPr>
      <w:bookmarkStart w:id="50" w:name="_Toc124520239"/>
      <w:bookmarkStart w:id="51" w:name="_Toc22779"/>
      <w:bookmarkStart w:id="52" w:name="_Toc124520240"/>
      <w:r>
        <w:rPr>
          <w:rFonts w:hint="default" w:ascii="Times New Roman" w:hAnsi="Times New Roman" w:cs="Times New Roman"/>
          <w:color w:val="auto"/>
          <w:highlight w:val="none"/>
        </w:rPr>
        <w:t>环境宜居</w:t>
      </w:r>
      <w:bookmarkEnd w:id="50"/>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环境宜居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bookmarkStart w:id="53" w:name="_Hlk122455648"/>
            <w:r>
              <w:rPr>
                <w:rFonts w:hint="default" w:ascii="Times New Roman" w:hAnsi="Times New Roman" w:cs="Times New Roman"/>
                <w:color w:val="auto"/>
                <w:kern w:val="0"/>
                <w:szCs w:val="21"/>
                <w:highlight w:val="none"/>
              </w:rPr>
              <w:t>场地内合理规划配置符合垃圾分类收集要求的场所和设施，并与周围景观协调</w:t>
            </w:r>
            <w:bookmarkEnd w:id="53"/>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eastAsia="仿宋" w:cs="Times New Roman"/>
                <w:color w:val="auto"/>
                <w:w w:val="98"/>
                <w:szCs w:val="21"/>
                <w:highlight w:val="none"/>
              </w:rPr>
              <w:t>■</w:t>
            </w:r>
            <w:r>
              <w:rPr>
                <w:rFonts w:hint="default" w:ascii="Times New Roman" w:hAnsi="Times New Roman" w:cs="Times New Roman"/>
                <w:color w:val="auto"/>
                <w:kern w:val="0"/>
                <w:szCs w:val="21"/>
                <w:highlight w:val="none"/>
              </w:rPr>
              <w:t>是□否</w:t>
            </w:r>
          </w:p>
        </w:tc>
        <w:tc>
          <w:tcPr>
            <w:tcW w:w="1173"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场地内合理规划设置室外吸烟区，并布置在建筑主出入口的主导风的下风向，与所有建筑出入口、新风进气口和可开启窗扇的距离不少于8m，且距离儿童和老人活动场地不少于8m</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eastAsia="仿宋" w:cs="Times New Roman"/>
                <w:color w:val="auto"/>
                <w:w w:val="98"/>
                <w:szCs w:val="21"/>
                <w:highlight w:val="none"/>
              </w:rPr>
              <w:t>■</w:t>
            </w:r>
            <w:r>
              <w:rPr>
                <w:rFonts w:hint="default" w:ascii="Times New Roman" w:hAnsi="Times New Roman" w:cs="Times New Roman"/>
                <w:color w:val="auto"/>
                <w:kern w:val="0"/>
                <w:szCs w:val="21"/>
                <w:highlight w:val="none"/>
              </w:rPr>
              <w:t>是□否</w:t>
            </w:r>
          </w:p>
        </w:tc>
        <w:tc>
          <w:tcPr>
            <w:tcW w:w="1173" w:type="dxa"/>
            <w:vAlign w:val="center"/>
          </w:tcPr>
          <w:p>
            <w:pPr>
              <w:jc w:val="center"/>
              <w:rPr>
                <w:rFonts w:hint="default" w:ascii="Times New Roman" w:hAnsi="Times New Roman" w:eastAsia="宋体" w:cs="Times New Roman"/>
                <w:color w:val="auto"/>
                <w:kern w:val="0"/>
                <w:szCs w:val="21"/>
                <w:highlight w:val="none"/>
                <w:lang w:eastAsia="zh-CN"/>
              </w:rPr>
            </w:pPr>
            <w:r>
              <w:rPr>
                <w:rFonts w:hint="default" w:ascii="Times New Roman" w:hAnsi="Times New Roman" w:cs="Times New Roman"/>
                <w:color w:val="auto"/>
                <w:kern w:val="0"/>
                <w:szCs w:val="21"/>
                <w:highlight w:val="none"/>
                <w:lang w:eastAsia="zh-CN"/>
              </w:rPr>
              <w:t>建筑总平面图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室外吸烟区与绿植结合布置,并合理配置座椅和带烟头收集的垃圾筒，从建筑主出入口至室外吸烟区的导向标识完整、定位标识醒目，吸烟区设置吸烟有害健康的警示标识</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eastAsia="仿宋" w:cs="Times New Roman"/>
                <w:color w:val="auto"/>
                <w:w w:val="98"/>
                <w:szCs w:val="21"/>
                <w:highlight w:val="none"/>
              </w:rPr>
              <w:t>■</w:t>
            </w:r>
            <w:r>
              <w:rPr>
                <w:rFonts w:hint="default" w:ascii="Times New Roman" w:hAnsi="Times New Roman" w:cs="Times New Roman"/>
                <w:color w:val="auto"/>
                <w:kern w:val="0"/>
                <w:szCs w:val="21"/>
                <w:highlight w:val="none"/>
              </w:rPr>
              <w:t>是□否</w:t>
            </w:r>
          </w:p>
        </w:tc>
        <w:tc>
          <w:tcPr>
            <w:tcW w:w="1173" w:type="dxa"/>
            <w:vAlign w:val="center"/>
          </w:tcPr>
          <w:p>
            <w:pPr>
              <w:jc w:val="center"/>
              <w:rPr>
                <w:rFonts w:hint="default" w:ascii="Times New Roman" w:hAnsi="Times New Roman" w:eastAsia="宋体" w:cs="Times New Roman"/>
                <w:color w:val="auto"/>
                <w:kern w:val="0"/>
                <w:szCs w:val="21"/>
                <w:highlight w:val="none"/>
                <w:lang w:eastAsia="zh-CN"/>
              </w:rPr>
            </w:pPr>
            <w:r>
              <w:rPr>
                <w:rFonts w:hint="default" w:ascii="Times New Roman" w:hAnsi="Times New Roman" w:cs="Times New Roman"/>
                <w:color w:val="auto"/>
                <w:kern w:val="0"/>
                <w:szCs w:val="21"/>
                <w:highlight w:val="none"/>
                <w:lang w:eastAsia="zh-CN"/>
              </w:rPr>
              <w:t>建筑总平面图</w:t>
            </w:r>
          </w:p>
        </w:tc>
      </w:tr>
    </w:tbl>
    <w:p>
      <w:pPr>
        <w:pStyle w:val="3"/>
        <w:numPr>
          <w:ilvl w:val="2"/>
          <w:numId w:val="3"/>
        </w:numPr>
        <w:spacing w:after="156"/>
        <w:rPr>
          <w:rFonts w:hint="default" w:ascii="Times New Roman" w:hAnsi="Times New Roman" w:cs="Times New Roman"/>
          <w:color w:val="auto"/>
          <w:highlight w:val="none"/>
        </w:rPr>
      </w:pPr>
      <w:r>
        <w:rPr>
          <w:rFonts w:hint="default" w:ascii="Times New Roman" w:hAnsi="Times New Roman" w:cs="Times New Roman"/>
          <w:color w:val="auto"/>
          <w:highlight w:val="none"/>
        </w:rPr>
        <w:t>场地对外交通</w:t>
      </w:r>
      <w:bookmarkEnd w:id="51"/>
      <w:bookmarkEnd w:id="52"/>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96"/>
        <w:gridCol w:w="15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2"/>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公共交通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96"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是否具有公共交通站点</w:t>
            </w:r>
          </w:p>
        </w:tc>
        <w:tc>
          <w:tcPr>
            <w:tcW w:w="150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96"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场地人行出入口到公共交通站点的步行距离（m）</w:t>
            </w:r>
          </w:p>
        </w:tc>
        <w:tc>
          <w:tcPr>
            <w:tcW w:w="150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en-US" w:eastAsia="zh-CN"/>
              </w:rPr>
              <w:t>101</w:t>
            </w:r>
            <w:r>
              <w:rPr>
                <w:rFonts w:hint="default" w:ascii="Times New Roman" w:hAnsi="Times New Roman" w:cs="Times New Roman"/>
                <w:color w:val="auto"/>
                <w:kern w:val="0"/>
                <w:szCs w:val="21"/>
                <w:highlight w:val="none"/>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96"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是否配备联系公共交通站点的专用接驳车</w:t>
            </w:r>
          </w:p>
        </w:tc>
        <w:tc>
          <w:tcPr>
            <w:tcW w:w="150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w:t>
            </w:r>
            <w:r>
              <w:rPr>
                <w:rFonts w:hint="default" w:ascii="Times New Roman" w:hAnsi="Times New Roman" w:eastAsia="仿宋" w:cs="Times New Roman"/>
                <w:color w:val="auto"/>
                <w:w w:val="98"/>
                <w:szCs w:val="21"/>
                <w:highlight w:val="none"/>
              </w:rPr>
              <w:t>■</w:t>
            </w:r>
            <w:r>
              <w:rPr>
                <w:rFonts w:hint="default" w:ascii="Times New Roman" w:hAnsi="Times New Roman" w:cs="Times New Roman"/>
                <w:color w:val="auto"/>
                <w:kern w:val="0"/>
                <w:szCs w:val="21"/>
                <w:highlight w:val="none"/>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96"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场地人行出入口到联系公共交通站点的专用接驳车的步行距离（m）</w:t>
            </w:r>
          </w:p>
        </w:tc>
        <w:tc>
          <w:tcPr>
            <w:tcW w:w="150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96"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是否具有轨道交通站（m）</w:t>
            </w:r>
          </w:p>
        </w:tc>
        <w:tc>
          <w:tcPr>
            <w:tcW w:w="150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w:t>
            </w:r>
            <w:r>
              <w:rPr>
                <w:rFonts w:hint="default" w:ascii="Times New Roman" w:hAnsi="Times New Roman" w:eastAsia="仿宋" w:cs="Times New Roman"/>
                <w:color w:val="auto"/>
                <w:w w:val="98"/>
                <w:szCs w:val="21"/>
                <w:highlight w:val="none"/>
              </w:rPr>
              <w:t>■</w:t>
            </w:r>
            <w:r>
              <w:rPr>
                <w:rFonts w:hint="default" w:ascii="Times New Roman" w:hAnsi="Times New Roman" w:cs="Times New Roman"/>
                <w:color w:val="auto"/>
                <w:kern w:val="0"/>
                <w:szCs w:val="21"/>
                <w:highlight w:val="none"/>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96"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场地人行出入口到轨道交通站的步行距离（m）</w:t>
            </w:r>
          </w:p>
        </w:tc>
        <w:tc>
          <w:tcPr>
            <w:tcW w:w="1509"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96" w:type="dxa"/>
            <w:vAlign w:val="center"/>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场地人行出入口步行距离800m范围内的公共交通站点的公交线路名称</w:t>
            </w:r>
          </w:p>
        </w:tc>
        <w:tc>
          <w:tcPr>
            <w:tcW w:w="1509" w:type="dxa"/>
            <w:vAlign w:val="center"/>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动车站-横街</w:t>
            </w: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瑞安107路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2"/>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注：1）场地人行出入口到公共交通站点的距离应不大于500m或500m内配备联系公共交通站点的专用接驳车。</w:t>
            </w:r>
          </w:p>
          <w:p>
            <w:pPr>
              <w:spacing w:line="360" w:lineRule="auto"/>
              <w:ind w:firstLine="420" w:firstLineChars="200"/>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2）二星级要求：场地出入口步行距离800m范围内设有不少于2条线路的公共交通站点。</w:t>
            </w:r>
          </w:p>
        </w:tc>
      </w:tr>
    </w:tbl>
    <w:p>
      <w:pPr>
        <w:spacing w:line="360" w:lineRule="auto"/>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场地周边公共交通站点示意图</w:t>
      </w:r>
    </w:p>
    <w:p>
      <w:pPr>
        <w:spacing w:line="360" w:lineRule="auto"/>
        <w:jc w:val="center"/>
        <w:rPr>
          <w:rFonts w:hint="default" w:ascii="Times New Roman" w:hAnsi="Times New Roman" w:cs="Times New Roman"/>
          <w:color w:val="auto"/>
          <w:sz w:val="24"/>
          <w:highlight w:val="none"/>
        </w:rPr>
      </w:pPr>
      <w:r>
        <w:rPr>
          <w:rFonts w:hint="default" w:ascii="Times New Roman" w:hAnsi="Times New Roman" w:cs="Times New Roman"/>
          <w:color w:val="auto"/>
        </w:rPr>
        <w:drawing>
          <wp:inline distT="0" distB="0" distL="114300" distR="114300">
            <wp:extent cx="5273675" cy="4558665"/>
            <wp:effectExtent l="0" t="0" r="3175" b="133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5273675" cy="4558665"/>
                    </a:xfrm>
                    <a:prstGeom prst="rect">
                      <a:avLst/>
                    </a:prstGeom>
                    <a:noFill/>
                    <a:ln>
                      <a:noFill/>
                    </a:ln>
                  </pic:spPr>
                </pic:pic>
              </a:graphicData>
            </a:graphic>
          </wp:inline>
        </w:drawing>
      </w:r>
    </w:p>
    <w:p>
      <w:pPr>
        <w:spacing w:line="360" w:lineRule="auto"/>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场地周边公共交通站点汇总表</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7"/>
        <w:gridCol w:w="1841"/>
        <w:gridCol w:w="3269"/>
        <w:gridCol w:w="16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0" w:type="pct"/>
            <w:shd w:val="clear" w:color="auto" w:fill="9FD3A4"/>
            <w:vAlign w:val="center"/>
          </w:tcPr>
          <w:p>
            <w:pPr>
              <w:autoSpaceDE w:val="0"/>
              <w:autoSpaceDN w:val="0"/>
              <w:adjustRightInd w:val="0"/>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公交/轨道交通站名称</w:t>
            </w:r>
          </w:p>
        </w:tc>
        <w:tc>
          <w:tcPr>
            <w:tcW w:w="1080" w:type="pct"/>
            <w:shd w:val="clear" w:color="auto" w:fill="9FD3A4"/>
            <w:vAlign w:val="center"/>
          </w:tcPr>
          <w:p>
            <w:pPr>
              <w:autoSpaceDE w:val="0"/>
              <w:autoSpaceDN w:val="0"/>
              <w:adjustRightInd w:val="0"/>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场地出入口步行至公交站的距离（m）</w:t>
            </w:r>
          </w:p>
        </w:tc>
        <w:tc>
          <w:tcPr>
            <w:tcW w:w="1917" w:type="pct"/>
            <w:shd w:val="clear" w:color="auto" w:fill="9FD3A4"/>
            <w:vAlign w:val="center"/>
          </w:tcPr>
          <w:p>
            <w:pPr>
              <w:autoSpaceDE w:val="0"/>
              <w:autoSpaceDN w:val="0"/>
              <w:adjustRightInd w:val="0"/>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线路名称</w:t>
            </w:r>
          </w:p>
        </w:tc>
        <w:tc>
          <w:tcPr>
            <w:tcW w:w="941" w:type="pct"/>
            <w:shd w:val="clear" w:color="auto" w:fill="9FD3A4"/>
            <w:vAlign w:val="center"/>
          </w:tcPr>
          <w:p>
            <w:pPr>
              <w:autoSpaceDE w:val="0"/>
              <w:autoSpaceDN w:val="0"/>
              <w:adjustRightInd w:val="0"/>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已建/规划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0" w:type="pct"/>
            <w:vAlign w:val="center"/>
          </w:tcPr>
          <w:p>
            <w:pPr>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云周工业区</w:t>
            </w:r>
          </w:p>
        </w:tc>
        <w:tc>
          <w:tcPr>
            <w:tcW w:w="1080" w:type="pct"/>
            <w:vAlign w:val="center"/>
          </w:tcPr>
          <w:p>
            <w:pPr>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101m</w:t>
            </w:r>
          </w:p>
        </w:tc>
        <w:tc>
          <w:tcPr>
            <w:tcW w:w="1917" w:type="pct"/>
            <w:vAlign w:val="center"/>
          </w:tcPr>
          <w:p>
            <w:pPr>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动车站-横街；瑞安107路</w:t>
            </w:r>
          </w:p>
        </w:tc>
        <w:tc>
          <w:tcPr>
            <w:tcW w:w="941" w:type="pct"/>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已建</w:t>
            </w:r>
          </w:p>
        </w:tc>
      </w:tr>
    </w:tbl>
    <w:p>
      <w:pPr>
        <w:pStyle w:val="3"/>
        <w:numPr>
          <w:ilvl w:val="2"/>
          <w:numId w:val="3"/>
        </w:numPr>
        <w:spacing w:after="156"/>
        <w:rPr>
          <w:rFonts w:hint="default" w:ascii="Times New Roman" w:hAnsi="Times New Roman" w:cs="Times New Roman"/>
          <w:b w:val="0"/>
          <w:color w:val="auto"/>
          <w:highlight w:val="none"/>
        </w:rPr>
      </w:pPr>
      <w:bookmarkStart w:id="54" w:name="_Toc124520241"/>
      <w:bookmarkStart w:id="55" w:name="_Toc20594"/>
      <w:r>
        <w:rPr>
          <w:rFonts w:hint="default" w:ascii="Times New Roman" w:hAnsi="Times New Roman" w:cs="Times New Roman"/>
          <w:b w:val="0"/>
          <w:color w:val="auto"/>
          <w:highlight w:val="none"/>
        </w:rPr>
        <w:t>公共服务</w:t>
      </w:r>
      <w:bookmarkEnd w:id="54"/>
      <w:bookmarkEnd w:id="55"/>
    </w:p>
    <w:p>
      <w:pPr>
        <w:pStyle w:val="20"/>
        <w:spacing w:line="360" w:lineRule="auto"/>
        <w:ind w:left="480" w:firstLine="0" w:firstLineChars="0"/>
        <w:rPr>
          <w:rFonts w:hint="default" w:ascii="Times New Roman" w:hAnsi="Times New Roman" w:cs="Times New Roman"/>
          <w:color w:val="auto"/>
          <w:sz w:val="24"/>
          <w:highlight w:val="none"/>
          <w:u w:val="single"/>
        </w:rPr>
      </w:pPr>
      <w:r>
        <w:rPr>
          <w:rFonts w:hint="default" w:ascii="Times New Roman" w:hAnsi="Times New Roman" w:cs="Times New Roman"/>
          <w:color w:val="auto"/>
          <w:sz w:val="24"/>
          <w:szCs w:val="24"/>
          <w:highlight w:val="none"/>
        </w:rPr>
        <w:t>公共建筑公共服务符合项数：</w:t>
      </w:r>
      <w:r>
        <w:rPr>
          <w:rFonts w:hint="default" w:ascii="Times New Roman" w:hAnsi="Times New Roman" w:cs="Times New Roman"/>
          <w:color w:val="auto"/>
          <w:sz w:val="24"/>
          <w:szCs w:val="24"/>
          <w:highlight w:val="none"/>
          <w:u w:val="single"/>
        </w:rPr>
        <w:t xml:space="preserve"> </w:t>
      </w:r>
      <w:r>
        <w:rPr>
          <w:rFonts w:hint="default" w:ascii="Times New Roman" w:hAnsi="Times New Roman" w:cs="Times New Roman"/>
          <w:color w:val="auto"/>
          <w:sz w:val="24"/>
          <w:highlight w:val="none"/>
          <w:u w:val="single"/>
          <w:lang w:val="en-US" w:eastAsia="zh-CN"/>
        </w:rPr>
        <w:t>4</w:t>
      </w:r>
      <w:r>
        <w:rPr>
          <w:rFonts w:hint="default" w:ascii="Times New Roman" w:hAnsi="Times New Roman" w:cs="Times New Roman"/>
          <w:color w:val="auto"/>
          <w:sz w:val="24"/>
          <w:highlight w:val="none"/>
          <w:u w:val="single"/>
        </w:rPr>
        <w:t xml:space="preserve"> </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78"/>
        <w:gridCol w:w="27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2"/>
            <w:shd w:val="clear" w:color="000000" w:fill="9FD3A4"/>
            <w:vAlign w:val="center"/>
          </w:tcPr>
          <w:p>
            <w:pPr>
              <w:widowControl/>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公共建筑公共服务符合项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390" w:type="pct"/>
            <w:shd w:val="clear" w:color="auto" w:fill="auto"/>
            <w:vAlign w:val="center"/>
          </w:tcPr>
          <w:p>
            <w:pPr>
              <w:widowControl/>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场地不封闭或场地内步行公共通道向社会开放</w:t>
            </w:r>
          </w:p>
        </w:tc>
        <w:tc>
          <w:tcPr>
            <w:tcW w:w="1610" w:type="pct"/>
            <w:shd w:val="clear" w:color="auto" w:fill="auto"/>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390" w:type="pct"/>
            <w:shd w:val="clear" w:color="auto" w:fill="auto"/>
            <w:vAlign w:val="center"/>
          </w:tcPr>
          <w:p>
            <w:pPr>
              <w:widowControl/>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建筑向社会公众提供开放的公共活动空间</w:t>
            </w:r>
          </w:p>
        </w:tc>
        <w:tc>
          <w:tcPr>
            <w:tcW w:w="1610" w:type="pct"/>
            <w:shd w:val="clear" w:color="auto" w:fill="auto"/>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390" w:type="pct"/>
            <w:shd w:val="clear" w:color="auto" w:fill="auto"/>
            <w:vAlign w:val="center"/>
          </w:tcPr>
          <w:p>
            <w:pPr>
              <w:widowControl/>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建筑内至少兼容2种面向社会的公共服务功能</w:t>
            </w:r>
          </w:p>
        </w:tc>
        <w:tc>
          <w:tcPr>
            <w:tcW w:w="1610" w:type="pct"/>
            <w:shd w:val="clear" w:color="auto" w:fill="auto"/>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390" w:type="pct"/>
            <w:shd w:val="clear" w:color="auto" w:fill="auto"/>
            <w:vAlign w:val="center"/>
          </w:tcPr>
          <w:p>
            <w:pPr>
              <w:widowControl/>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 xml:space="preserve">电动汽车充电桩的车位数占总车位数的比例不低于10% </w:t>
            </w:r>
          </w:p>
        </w:tc>
        <w:tc>
          <w:tcPr>
            <w:tcW w:w="1610" w:type="pct"/>
            <w:shd w:val="clear" w:color="auto" w:fill="auto"/>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390" w:type="pct"/>
            <w:shd w:val="clear" w:color="auto" w:fill="auto"/>
            <w:vAlign w:val="center"/>
          </w:tcPr>
          <w:p>
            <w:pPr>
              <w:widowControl/>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周边500m范围内设有社会公共停车场（库）</w:t>
            </w:r>
          </w:p>
        </w:tc>
        <w:tc>
          <w:tcPr>
            <w:tcW w:w="1610" w:type="pct"/>
            <w:shd w:val="clear" w:color="auto" w:fill="auto"/>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bl>
    <w:p>
      <w:pPr>
        <w:rPr>
          <w:rFonts w:hint="default" w:ascii="Times New Roman" w:hAnsi="Times New Roman" w:cs="Times New Roman"/>
          <w:color w:val="auto"/>
          <w:highlight w:val="none"/>
        </w:rPr>
      </w:pPr>
      <w:bookmarkStart w:id="56" w:name="_Toc327"/>
      <w:bookmarkStart w:id="57" w:name="_Toc124520242"/>
    </w:p>
    <w:p>
      <w:pPr>
        <w:pStyle w:val="2"/>
        <w:numPr>
          <w:ilvl w:val="0"/>
          <w:numId w:val="1"/>
        </w:numPr>
        <w:spacing w:before="156" w:after="156"/>
        <w:rPr>
          <w:rFonts w:hint="default" w:ascii="Times New Roman" w:hAnsi="Times New Roman" w:cs="Times New Roman"/>
          <w:color w:val="auto"/>
          <w:highlight w:val="none"/>
        </w:rPr>
      </w:pPr>
      <w:r>
        <w:rPr>
          <w:rFonts w:hint="default" w:ascii="Times New Roman" w:hAnsi="Times New Roman" w:cs="Times New Roman"/>
          <w:color w:val="auto"/>
          <w:highlight w:val="none"/>
        </w:rPr>
        <w:t>建筑设</w:t>
      </w:r>
      <w:bookmarkEnd w:id="56"/>
      <w:r>
        <w:rPr>
          <w:rFonts w:hint="default" w:ascii="Times New Roman" w:hAnsi="Times New Roman" w:cs="Times New Roman"/>
          <w:color w:val="auto"/>
          <w:highlight w:val="none"/>
        </w:rPr>
        <w:t>计</w:t>
      </w:r>
      <w:bookmarkEnd w:id="57"/>
    </w:p>
    <w:p>
      <w:pPr>
        <w:pStyle w:val="3"/>
        <w:numPr>
          <w:ilvl w:val="0"/>
          <w:numId w:val="8"/>
        </w:numPr>
        <w:spacing w:after="156"/>
        <w:rPr>
          <w:rFonts w:hint="default" w:ascii="Times New Roman" w:hAnsi="Times New Roman" w:cs="Times New Roman"/>
          <w:color w:val="auto"/>
          <w:highlight w:val="none"/>
        </w:rPr>
      </w:pPr>
      <w:bookmarkStart w:id="58" w:name="_Toc31817"/>
      <w:bookmarkStart w:id="59" w:name="_Toc124520243"/>
      <w:r>
        <w:rPr>
          <w:rFonts w:hint="default" w:ascii="Times New Roman" w:hAnsi="Times New Roman" w:cs="Times New Roman"/>
          <w:color w:val="auto"/>
          <w:highlight w:val="none"/>
        </w:rPr>
        <w:t>建筑空间布局</w:t>
      </w:r>
      <w:bookmarkEnd w:id="58"/>
      <w:bookmarkEnd w:id="59"/>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35"/>
        <w:gridCol w:w="1283"/>
        <w:gridCol w:w="18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tcBorders>
              <w:top w:val="single" w:color="auto" w:sz="4" w:space="0"/>
              <w:left w:val="single" w:color="auto" w:sz="4" w:space="0"/>
              <w:bottom w:val="single" w:color="auto" w:sz="4" w:space="0"/>
              <w:right w:val="single" w:color="auto" w:sz="4" w:space="0"/>
            </w:tcBorders>
            <w:shd w:val="clear" w:color="auto" w:fill="9FD3A4"/>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建筑空间布局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18"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建筑主朝向</w:t>
            </w:r>
          </w:p>
        </w:tc>
        <w:tc>
          <w:tcPr>
            <w:tcW w:w="1887" w:type="dxa"/>
            <w:vAlign w:val="center"/>
          </w:tcPr>
          <w:p>
            <w:pPr>
              <w:spacing w:line="360" w:lineRule="auto"/>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Cs w:val="21"/>
                <w:highlight w:val="none"/>
                <w:lang w:eastAsia="zh-CN"/>
              </w:rPr>
              <w:t>南偏</w:t>
            </w:r>
            <w:r>
              <w:rPr>
                <w:rFonts w:hint="default" w:ascii="Times New Roman" w:hAnsi="Times New Roman" w:cs="Times New Roman"/>
                <w:color w:val="auto"/>
                <w:kern w:val="0"/>
                <w:szCs w:val="21"/>
                <w:highlight w:val="none"/>
                <w:lang w:val="en-US" w:eastAsia="zh-CN"/>
              </w:rPr>
              <w:t>东34.5</w:t>
            </w: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shd w:val="clear" w:color="auto" w:fill="9FD3A4"/>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建筑朝向宜控制在南偏东30°至南偏西15°范围，最佳朝向为南偏东10°～15°范围。当建筑处于不利朝向时，采取的补偿措施：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tcPr>
          <w:p>
            <w:pPr>
              <w:autoSpaceDE w:val="0"/>
              <w:autoSpaceDN w:val="0"/>
              <w:adjustRightInd w:val="0"/>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如：1）将次要房间放在西面或北面，减少北向房间的进深。</w:t>
            </w:r>
          </w:p>
          <w:p>
            <w:pPr>
              <w:autoSpaceDE w:val="0"/>
              <w:autoSpaceDN w:val="0"/>
              <w:adjustRightInd w:val="0"/>
              <w:ind w:firstLine="420" w:firstLineChars="200"/>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2）在西边设置进深较大的阳台，同时减小西窗面积，设遮阳设施，在西窗外种植枝大叶茂的落叶乔木。</w:t>
            </w:r>
          </w:p>
          <w:p>
            <w:pPr>
              <w:autoSpaceDE w:val="0"/>
              <w:autoSpaceDN w:val="0"/>
              <w:adjustRightInd w:val="0"/>
              <w:ind w:firstLine="420" w:firstLineChars="200"/>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3）应避免纯朝西户型的出现，并组织好穿堂风，利用晚间通风带走室内余热。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18"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楼间距是否满足日照和规划的要求</w:t>
            </w:r>
          </w:p>
        </w:tc>
        <w:tc>
          <w:tcPr>
            <w:tcW w:w="188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eastAsia="仿宋" w:cs="Times New Roman"/>
                <w:color w:val="auto"/>
                <w:w w:val="98"/>
                <w:szCs w:val="21"/>
                <w:highlight w:val="none"/>
              </w:rPr>
              <w:t>■</w:t>
            </w: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18"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居住建筑北向空间未设置凸窗</w:t>
            </w:r>
          </w:p>
        </w:tc>
        <w:tc>
          <w:tcPr>
            <w:tcW w:w="188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eastAsia="仿宋" w:cs="Times New Roman"/>
                <w:color w:val="auto"/>
                <w:w w:val="98"/>
                <w:szCs w:val="21"/>
                <w:highlight w:val="none"/>
              </w:rPr>
              <w:t>■</w:t>
            </w: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shd w:val="clear" w:color="auto" w:fill="9FD3A4"/>
          </w:tcPr>
          <w:p>
            <w:pPr>
              <w:spacing w:line="360" w:lineRule="auto"/>
              <w:jc w:val="left"/>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kern w:val="0"/>
                <w:szCs w:val="21"/>
                <w:highlight w:val="none"/>
              </w:rPr>
              <w:t>窗墙比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5335" w:type="dxa"/>
            <w:vMerge w:val="restart"/>
            <w:vAlign w:val="center"/>
          </w:tcPr>
          <w:p>
            <w:pPr>
              <w:spacing w:line="360" w:lineRule="auto"/>
              <w:jc w:val="center"/>
              <w:rPr>
                <w:rFonts w:hint="default" w:ascii="Times New Roman" w:hAnsi="Times New Roman" w:eastAsia="仿宋" w:cs="Times New Roman"/>
                <w:color w:val="auto"/>
                <w:w w:val="98"/>
                <w:szCs w:val="21"/>
                <w:highlight w:val="none"/>
              </w:rPr>
            </w:pPr>
            <w:r>
              <w:rPr>
                <w:rFonts w:hint="default" w:ascii="Times New Roman" w:hAnsi="Times New Roman" w:cs="Times New Roman"/>
                <w:color w:val="auto"/>
                <w:kern w:val="0"/>
                <w:szCs w:val="21"/>
                <w:highlight w:val="none"/>
              </w:rPr>
              <w:t>综合教学楼</w:t>
            </w:r>
          </w:p>
        </w:tc>
        <w:tc>
          <w:tcPr>
            <w:tcW w:w="128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南向</w:t>
            </w:r>
          </w:p>
        </w:tc>
        <w:tc>
          <w:tcPr>
            <w:tcW w:w="1887" w:type="dxa"/>
            <w:vAlign w:val="center"/>
          </w:tcPr>
          <w:p>
            <w:pPr>
              <w:spacing w:line="360" w:lineRule="auto"/>
              <w:jc w:val="center"/>
              <w:rPr>
                <w:rFonts w:hint="default" w:ascii="Times New Roman" w:hAnsi="Times New Roman" w:cs="Times New Roman"/>
                <w:color w:val="auto"/>
                <w:kern w:val="0"/>
                <w:szCs w:val="21"/>
                <w:highlight w:val="none"/>
                <w:lang w:eastAsia="zh-CN"/>
              </w:rPr>
            </w:pPr>
            <w:r>
              <w:rPr>
                <w:rFonts w:hint="default" w:ascii="Times New Roman" w:hAnsi="Times New Roman" w:cs="Times New Roman"/>
                <w:color w:val="auto"/>
                <w:kern w:val="0"/>
                <w:szCs w:val="21"/>
                <w:highlight w:val="none"/>
                <w:lang w:eastAsia="zh-CN"/>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5335" w:type="dxa"/>
            <w:vMerge w:val="continue"/>
          </w:tcPr>
          <w:p>
            <w:pPr>
              <w:spacing w:line="360" w:lineRule="auto"/>
              <w:jc w:val="center"/>
              <w:rPr>
                <w:rFonts w:hint="default" w:ascii="Times New Roman" w:hAnsi="Times New Roman" w:cs="Times New Roman"/>
                <w:color w:val="auto"/>
                <w:kern w:val="0"/>
                <w:szCs w:val="21"/>
                <w:highlight w:val="none"/>
              </w:rPr>
            </w:pPr>
          </w:p>
        </w:tc>
        <w:tc>
          <w:tcPr>
            <w:tcW w:w="128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北向</w:t>
            </w:r>
          </w:p>
        </w:tc>
        <w:tc>
          <w:tcPr>
            <w:tcW w:w="1887" w:type="dxa"/>
            <w:vAlign w:val="center"/>
          </w:tcPr>
          <w:p>
            <w:pPr>
              <w:spacing w:line="360" w:lineRule="auto"/>
              <w:jc w:val="center"/>
              <w:rPr>
                <w:rFonts w:hint="default" w:ascii="Times New Roman" w:hAnsi="Times New Roman" w:cs="Times New Roman"/>
                <w:color w:val="auto"/>
                <w:kern w:val="0"/>
                <w:szCs w:val="21"/>
                <w:highlight w:val="none"/>
                <w:lang w:eastAsia="zh-CN"/>
              </w:rPr>
            </w:pPr>
            <w:r>
              <w:rPr>
                <w:rFonts w:hint="default" w:ascii="Times New Roman" w:hAnsi="Times New Roman" w:cs="Times New Roman"/>
                <w:color w:val="auto"/>
                <w:kern w:val="0"/>
                <w:szCs w:val="21"/>
                <w:highlight w:val="none"/>
                <w:lang w:eastAsia="zh-CN"/>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5335" w:type="dxa"/>
            <w:vMerge w:val="continue"/>
          </w:tcPr>
          <w:p>
            <w:pPr>
              <w:spacing w:line="360" w:lineRule="auto"/>
              <w:jc w:val="center"/>
              <w:rPr>
                <w:rFonts w:hint="default" w:ascii="Times New Roman" w:hAnsi="Times New Roman" w:cs="Times New Roman"/>
                <w:color w:val="auto"/>
                <w:kern w:val="0"/>
                <w:szCs w:val="21"/>
                <w:highlight w:val="none"/>
              </w:rPr>
            </w:pPr>
          </w:p>
        </w:tc>
        <w:tc>
          <w:tcPr>
            <w:tcW w:w="128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东向</w:t>
            </w:r>
          </w:p>
        </w:tc>
        <w:tc>
          <w:tcPr>
            <w:tcW w:w="1887" w:type="dxa"/>
            <w:vAlign w:val="center"/>
          </w:tcPr>
          <w:p>
            <w:pPr>
              <w:spacing w:line="360" w:lineRule="auto"/>
              <w:jc w:val="center"/>
              <w:rPr>
                <w:rFonts w:hint="default" w:ascii="Times New Roman" w:hAnsi="Times New Roman" w:cs="Times New Roman"/>
                <w:color w:val="auto"/>
                <w:kern w:val="0"/>
                <w:szCs w:val="21"/>
                <w:highlight w:val="none"/>
                <w:lang w:eastAsia="zh-CN"/>
              </w:rPr>
            </w:pPr>
            <w:r>
              <w:rPr>
                <w:rFonts w:hint="default" w:ascii="Times New Roman" w:hAnsi="Times New Roman" w:cs="Times New Roman"/>
                <w:color w:val="auto"/>
                <w:kern w:val="0"/>
                <w:szCs w:val="21"/>
                <w:highlight w:val="none"/>
                <w:lang w:eastAsia="zh-CN"/>
              </w:rPr>
              <w:t>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5335" w:type="dxa"/>
            <w:vMerge w:val="continue"/>
          </w:tcPr>
          <w:p>
            <w:pPr>
              <w:spacing w:line="360" w:lineRule="auto"/>
              <w:jc w:val="center"/>
              <w:rPr>
                <w:rFonts w:hint="default" w:ascii="Times New Roman" w:hAnsi="Times New Roman" w:cs="Times New Roman"/>
                <w:color w:val="auto"/>
                <w:kern w:val="0"/>
                <w:szCs w:val="21"/>
                <w:highlight w:val="none"/>
              </w:rPr>
            </w:pPr>
          </w:p>
        </w:tc>
        <w:tc>
          <w:tcPr>
            <w:tcW w:w="128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西向</w:t>
            </w:r>
          </w:p>
        </w:tc>
        <w:tc>
          <w:tcPr>
            <w:tcW w:w="1887" w:type="dxa"/>
            <w:vAlign w:val="center"/>
          </w:tcPr>
          <w:p>
            <w:pPr>
              <w:spacing w:line="360" w:lineRule="auto"/>
              <w:jc w:val="center"/>
              <w:rPr>
                <w:rFonts w:hint="default" w:ascii="Times New Roman" w:hAnsi="Times New Roman" w:cs="Times New Roman"/>
                <w:color w:val="auto"/>
                <w:kern w:val="0"/>
                <w:szCs w:val="21"/>
                <w:highlight w:val="none"/>
                <w:lang w:eastAsia="zh-CN"/>
              </w:rPr>
            </w:pPr>
            <w:r>
              <w:rPr>
                <w:rFonts w:hint="default" w:ascii="Times New Roman" w:hAnsi="Times New Roman" w:cs="Times New Roman"/>
                <w:color w:val="auto"/>
                <w:kern w:val="0"/>
                <w:szCs w:val="21"/>
                <w:highlight w:val="none"/>
                <w:lang w:eastAsia="zh-CN"/>
              </w:rPr>
              <w:t>0.27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shd w:val="clear" w:color="auto" w:fill="9FD3A4"/>
            <w:noWrap w:val="0"/>
            <w:vAlign w:val="top"/>
          </w:tcPr>
          <w:p>
            <w:pPr>
              <w:spacing w:line="360" w:lineRule="auto"/>
              <w:jc w:val="left"/>
              <w:rPr>
                <w:rFonts w:hint="default" w:ascii="Times New Roman" w:hAnsi="Times New Roman" w:cs="Times New Roman"/>
                <w:kern w:val="0"/>
                <w:szCs w:val="21"/>
              </w:rPr>
            </w:pPr>
            <w:bookmarkStart w:id="60" w:name="_Toc124520244"/>
            <w:bookmarkStart w:id="61" w:name="_Toc10550"/>
            <w:r>
              <w:rPr>
                <w:rFonts w:hint="default" w:ascii="Times New Roman" w:hAnsi="Times New Roman" w:cs="Times New Roman"/>
                <w:kern w:val="0"/>
                <w:szCs w:val="21"/>
              </w:rPr>
              <w:t>公共建筑朝向窗墙比≥0.5时采取的优化设计措施：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noWrap w:val="0"/>
            <w:vAlign w:val="top"/>
          </w:tcPr>
          <w:p>
            <w:pPr>
              <w:spacing w:line="360" w:lineRule="auto"/>
              <w:jc w:val="left"/>
              <w:rPr>
                <w:rFonts w:hint="default" w:ascii="Times New Roman" w:hAnsi="Times New Roman" w:cs="Times New Roman"/>
                <w:kern w:val="0"/>
                <w:szCs w:val="21"/>
              </w:rPr>
            </w:pPr>
          </w:p>
          <w:p>
            <w:pPr>
              <w:spacing w:line="360" w:lineRule="auto"/>
              <w:jc w:val="left"/>
              <w:rPr>
                <w:rFonts w:hint="default" w:ascii="Times New Roman" w:hAnsi="Times New Roman" w:cs="Times New Roman"/>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shd w:val="clear" w:color="auto" w:fill="9FD3A4"/>
            <w:noWrap w:val="0"/>
            <w:vAlign w:val="top"/>
          </w:tcPr>
          <w:p>
            <w:pPr>
              <w:spacing w:line="360" w:lineRule="auto"/>
              <w:jc w:val="left"/>
              <w:rPr>
                <w:rFonts w:hint="default" w:ascii="Times New Roman" w:hAnsi="Times New Roman" w:cs="Times New Roman"/>
                <w:kern w:val="0"/>
                <w:szCs w:val="21"/>
              </w:rPr>
            </w:pPr>
            <w:r>
              <w:rPr>
                <w:rFonts w:hint="default" w:ascii="Times New Roman" w:hAnsi="Times New Roman" w:cs="Times New Roman"/>
                <w:kern w:val="0"/>
                <w:szCs w:val="21"/>
              </w:rPr>
              <w:t>建筑空间布局优化措施：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noWrap w:val="0"/>
            <w:vAlign w:val="top"/>
          </w:tcPr>
          <w:p>
            <w:pPr>
              <w:spacing w:line="360" w:lineRule="auto"/>
              <w:jc w:val="left"/>
              <w:rPr>
                <w:rFonts w:hint="default" w:ascii="Times New Roman" w:hAnsi="Times New Roman" w:cs="Times New Roman"/>
                <w:kern w:val="0"/>
                <w:szCs w:val="21"/>
              </w:rPr>
            </w:pPr>
          </w:p>
          <w:p>
            <w:pPr>
              <w:spacing w:line="360" w:lineRule="auto"/>
              <w:jc w:val="left"/>
              <w:rPr>
                <w:rFonts w:hint="default" w:ascii="Times New Roman" w:hAnsi="Times New Roman" w:cs="Times New Roman"/>
                <w:kern w:val="0"/>
                <w:szCs w:val="21"/>
              </w:rPr>
            </w:pPr>
          </w:p>
        </w:tc>
      </w:tr>
    </w:tbl>
    <w:p>
      <w:pPr>
        <w:spacing w:line="360" w:lineRule="auto"/>
        <w:ind w:firstLine="420"/>
        <w:rPr>
          <w:rFonts w:hint="default" w:ascii="Times New Roman" w:hAnsi="Times New Roman" w:cs="Times New Roman"/>
          <w:color w:val="auto"/>
          <w:highlight w:val="none"/>
        </w:rPr>
      </w:pPr>
    </w:p>
    <w:p>
      <w:pPr>
        <w:pStyle w:val="3"/>
        <w:numPr>
          <w:ilvl w:val="0"/>
          <w:numId w:val="8"/>
        </w:numPr>
        <w:spacing w:after="156"/>
        <w:rPr>
          <w:rFonts w:hint="default" w:ascii="Times New Roman" w:hAnsi="Times New Roman" w:cs="Times New Roman"/>
          <w:color w:val="auto"/>
          <w:highlight w:val="none"/>
        </w:rPr>
      </w:pPr>
      <w:r>
        <w:rPr>
          <w:rFonts w:hint="default" w:ascii="Times New Roman" w:hAnsi="Times New Roman" w:cs="Times New Roman"/>
          <w:color w:val="auto"/>
          <w:highlight w:val="none"/>
        </w:rPr>
        <w:t>围护结构热工</w:t>
      </w:r>
      <w:bookmarkEnd w:id="60"/>
      <w:bookmarkEnd w:id="61"/>
    </w:p>
    <w:p>
      <w:pPr>
        <w:spacing w:line="360" w:lineRule="auto"/>
        <w:ind w:firstLine="420"/>
        <w:rPr>
          <w:rFonts w:hint="default" w:ascii="Times New Roman" w:hAnsi="Times New Roman" w:cs="Times New Roman" w:eastAsiaTheme="majorEastAsia"/>
          <w:color w:val="auto"/>
          <w:sz w:val="24"/>
          <w:szCs w:val="24"/>
          <w:highlight w:val="none"/>
        </w:rPr>
      </w:pPr>
      <w:r>
        <w:rPr>
          <w:rFonts w:hint="default" w:ascii="Times New Roman" w:hAnsi="Times New Roman" w:cs="Times New Roman" w:eastAsiaTheme="majorEastAsia"/>
          <w:color w:val="auto"/>
          <w:sz w:val="24"/>
          <w:szCs w:val="24"/>
          <w:highlight w:val="none"/>
        </w:rPr>
        <w:t>围护结构热工性能比现行有关建筑节能设计标准规定的降低幅度：</w:t>
      </w:r>
      <w:r>
        <w:rPr>
          <w:rFonts w:hint="default" w:ascii="Times New Roman" w:hAnsi="Times New Roman" w:cs="Times New Roman" w:eastAsiaTheme="majorEastAsia"/>
          <w:color w:val="auto"/>
          <w:sz w:val="24"/>
          <w:szCs w:val="24"/>
          <w:highlight w:val="none"/>
          <w:u w:val="single"/>
        </w:rPr>
        <w:t xml:space="preserve">  </w:t>
      </w:r>
      <w:r>
        <w:rPr>
          <w:rFonts w:hint="default" w:ascii="Times New Roman" w:hAnsi="Times New Roman" w:cs="Times New Roman" w:eastAsiaTheme="majorEastAsia"/>
          <w:color w:val="auto"/>
          <w:sz w:val="24"/>
          <w:szCs w:val="24"/>
          <w:highlight w:val="none"/>
          <w:u w:val="single"/>
          <w:lang w:val="en-US" w:eastAsia="zh-CN"/>
        </w:rPr>
        <w:t>10.00</w:t>
      </w:r>
      <w:r>
        <w:rPr>
          <w:rFonts w:hint="default" w:ascii="Times New Roman" w:hAnsi="Times New Roman" w:cs="Times New Roman" w:eastAsiaTheme="majorEastAsia"/>
          <w:color w:val="auto"/>
          <w:sz w:val="24"/>
          <w:szCs w:val="24"/>
          <w:highlight w:val="none"/>
          <w:u w:val="single"/>
        </w:rPr>
        <w:t xml:space="preserve">%  </w:t>
      </w:r>
    </w:p>
    <w:tbl>
      <w:tblPr>
        <w:tblStyle w:val="14"/>
        <w:tblW w:w="0" w:type="auto"/>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1"/>
        <w:gridCol w:w="815"/>
        <w:gridCol w:w="1183"/>
        <w:gridCol w:w="1359"/>
        <w:gridCol w:w="1248"/>
        <w:gridCol w:w="1201"/>
        <w:gridCol w:w="11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7"/>
            <w:shd w:val="clear" w:color="auto" w:fill="9FD3A4"/>
            <w:noWrap/>
            <w:vAlign w:val="center"/>
          </w:tcPr>
          <w:p>
            <w:pPr>
              <w:spacing w:line="360" w:lineRule="auto"/>
              <w:rPr>
                <w:rFonts w:hint="default" w:ascii="Times New Roman" w:hAnsi="Times New Roman" w:cs="Times New Roman" w:eastAsiaTheme="majorEastAsia"/>
                <w:b/>
                <w:color w:val="auto"/>
                <w:szCs w:val="21"/>
                <w:highlight w:val="none"/>
              </w:rPr>
            </w:pPr>
            <w:r>
              <w:rPr>
                <w:rFonts w:hint="default" w:ascii="Times New Roman" w:hAnsi="Times New Roman" w:cs="Times New Roman" w:eastAsiaTheme="majorEastAsia"/>
                <w:b/>
                <w:color w:val="auto"/>
                <w:szCs w:val="21"/>
                <w:highlight w:val="none"/>
              </w:rPr>
              <w:t>围护结构热工性能指标比较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549" w:type="dxa"/>
            <w:gridSpan w:val="3"/>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热工参数</w:t>
            </w:r>
          </w:p>
        </w:tc>
        <w:tc>
          <w:tcPr>
            <w:tcW w:w="1359"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单位</w:t>
            </w:r>
          </w:p>
        </w:tc>
        <w:tc>
          <w:tcPr>
            <w:tcW w:w="1248"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设计建筑</w:t>
            </w:r>
          </w:p>
        </w:tc>
        <w:tc>
          <w:tcPr>
            <w:tcW w:w="1201"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参照建筑</w:t>
            </w:r>
          </w:p>
        </w:tc>
        <w:tc>
          <w:tcPr>
            <w:tcW w:w="1150" w:type="dxa"/>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提高比例（%）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549" w:type="dxa"/>
            <w:gridSpan w:val="3"/>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屋面传热系数K</w:t>
            </w:r>
          </w:p>
        </w:tc>
        <w:tc>
          <w:tcPr>
            <w:tcW w:w="1359"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w:t>
            </w:r>
            <w:r>
              <w:rPr>
                <w:rFonts w:hint="default" w:ascii="Times New Roman" w:hAnsi="Times New Roman" w:cs="Times New Roman" w:eastAsiaTheme="majorEastAsia"/>
                <w:color w:val="auto"/>
                <w:sz w:val="15"/>
                <w:szCs w:val="15"/>
                <w:highlight w:val="none"/>
              </w:rPr>
              <w:t>·</w:t>
            </w:r>
            <w:r>
              <w:rPr>
                <w:rFonts w:hint="default" w:ascii="Times New Roman" w:hAnsi="Times New Roman" w:cs="Times New Roman" w:eastAsiaTheme="majorEastAsia"/>
                <w:color w:val="auto"/>
                <w:szCs w:val="21"/>
                <w:highlight w:val="none"/>
              </w:rPr>
              <w:t>K）</w:t>
            </w:r>
          </w:p>
        </w:tc>
        <w:tc>
          <w:tcPr>
            <w:tcW w:w="1248"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0.30</w:t>
            </w:r>
          </w:p>
        </w:tc>
        <w:tc>
          <w:tcPr>
            <w:tcW w:w="1201" w:type="dxa"/>
            <w:noWrap/>
            <w:vAlign w:val="center"/>
          </w:tcPr>
          <w:p>
            <w:pPr>
              <w:jc w:val="center"/>
              <w:rPr>
                <w:rFonts w:hint="default" w:ascii="Times New Roman" w:hAnsi="Times New Roman" w:cs="Times New Roman" w:eastAsiaTheme="majorEastAsia"/>
                <w:color w:val="auto"/>
                <w:szCs w:val="21"/>
                <w:highlight w:val="none"/>
                <w:lang w:val="en-US" w:eastAsia="zh-CN"/>
              </w:rPr>
            </w:pPr>
            <w:r>
              <w:rPr>
                <w:rFonts w:hint="default" w:ascii="Times New Roman" w:hAnsi="Times New Roman" w:cs="Times New Roman" w:eastAsiaTheme="majorEastAsia"/>
                <w:color w:val="auto"/>
                <w:szCs w:val="21"/>
                <w:highlight w:val="none"/>
                <w:lang w:val="en-US" w:eastAsia="zh-CN"/>
              </w:rPr>
              <w:t>0.63</w:t>
            </w:r>
          </w:p>
        </w:tc>
        <w:tc>
          <w:tcPr>
            <w:tcW w:w="1150" w:type="dxa"/>
          </w:tcPr>
          <w:p>
            <w:pPr>
              <w:jc w:val="center"/>
              <w:rPr>
                <w:rFonts w:hint="default" w:ascii="Times New Roman" w:hAnsi="Times New Roman" w:cs="Times New Roman" w:eastAsiaTheme="majorEastAsia"/>
                <w:color w:val="auto"/>
                <w:szCs w:val="21"/>
                <w:highlight w:val="none"/>
                <w:lang w:val="en-US" w:eastAsia="zh-CN"/>
              </w:rPr>
            </w:pPr>
            <w:r>
              <w:rPr>
                <w:rFonts w:hint="default" w:ascii="Times New Roman" w:hAnsi="Times New Roman" w:cs="Times New Roman" w:eastAsiaTheme="majorEastAsia"/>
                <w:color w:val="auto"/>
                <w:szCs w:val="21"/>
                <w:highlight w:val="no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3549" w:type="dxa"/>
            <w:gridSpan w:val="3"/>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外墙（包括非透明幕墙）传热系数K</w:t>
            </w:r>
          </w:p>
        </w:tc>
        <w:tc>
          <w:tcPr>
            <w:tcW w:w="1359"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w:t>
            </w:r>
            <w:r>
              <w:rPr>
                <w:rFonts w:hint="default" w:ascii="Times New Roman" w:hAnsi="Times New Roman" w:cs="Times New Roman" w:eastAsiaTheme="majorEastAsia"/>
                <w:color w:val="auto"/>
                <w:sz w:val="15"/>
                <w:szCs w:val="15"/>
                <w:highlight w:val="none"/>
              </w:rPr>
              <w:t>·</w:t>
            </w:r>
            <w:r>
              <w:rPr>
                <w:rFonts w:hint="default" w:ascii="Times New Roman" w:hAnsi="Times New Roman" w:cs="Times New Roman" w:eastAsiaTheme="majorEastAsia"/>
                <w:color w:val="auto"/>
                <w:szCs w:val="21"/>
                <w:highlight w:val="none"/>
              </w:rPr>
              <w:t>K）</w:t>
            </w:r>
          </w:p>
        </w:tc>
        <w:tc>
          <w:tcPr>
            <w:tcW w:w="1248"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0.89</w:t>
            </w:r>
          </w:p>
        </w:tc>
        <w:tc>
          <w:tcPr>
            <w:tcW w:w="1201" w:type="dxa"/>
            <w:noWrap/>
            <w:vAlign w:val="center"/>
          </w:tcPr>
          <w:p>
            <w:pPr>
              <w:jc w:val="center"/>
              <w:rPr>
                <w:rFonts w:hint="default" w:ascii="Times New Roman" w:hAnsi="Times New Roman" w:cs="Times New Roman" w:eastAsiaTheme="majorEastAsia"/>
                <w:color w:val="auto"/>
                <w:szCs w:val="21"/>
                <w:highlight w:val="none"/>
                <w:lang w:val="en-US" w:eastAsia="zh-CN"/>
              </w:rPr>
            </w:pPr>
            <w:r>
              <w:rPr>
                <w:rFonts w:hint="default" w:ascii="Times New Roman" w:hAnsi="Times New Roman" w:cs="Times New Roman" w:eastAsiaTheme="majorEastAsia"/>
                <w:color w:val="auto"/>
                <w:szCs w:val="21"/>
                <w:highlight w:val="none"/>
                <w:lang w:val="en-US" w:eastAsia="zh-CN"/>
              </w:rPr>
              <w:t>0.90</w:t>
            </w:r>
          </w:p>
        </w:tc>
        <w:tc>
          <w:tcPr>
            <w:tcW w:w="1150" w:type="dxa"/>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1" w:type="dxa"/>
            <w:vMerge w:val="restart"/>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外窗（包括透明幕墙）</w:t>
            </w:r>
          </w:p>
        </w:tc>
        <w:tc>
          <w:tcPr>
            <w:tcW w:w="815" w:type="dxa"/>
            <w:vMerge w:val="restart"/>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传热系数K</w:t>
            </w:r>
          </w:p>
        </w:tc>
        <w:tc>
          <w:tcPr>
            <w:tcW w:w="1183"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东向</w:t>
            </w:r>
          </w:p>
        </w:tc>
        <w:tc>
          <w:tcPr>
            <w:tcW w:w="1359"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W/（㎡·K）</w:t>
            </w:r>
          </w:p>
        </w:tc>
        <w:tc>
          <w:tcPr>
            <w:tcW w:w="1248"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2.20</w:t>
            </w:r>
          </w:p>
        </w:tc>
        <w:tc>
          <w:tcPr>
            <w:tcW w:w="1201"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2.70</w:t>
            </w:r>
          </w:p>
        </w:tc>
        <w:tc>
          <w:tcPr>
            <w:tcW w:w="1150" w:type="dxa"/>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1" w:type="dxa"/>
            <w:vMerge w:val="continue"/>
            <w:noWrap/>
            <w:vAlign w:val="center"/>
          </w:tcPr>
          <w:p>
            <w:pPr>
              <w:jc w:val="center"/>
              <w:rPr>
                <w:rFonts w:hint="default" w:ascii="Times New Roman" w:hAnsi="Times New Roman" w:cs="Times New Roman" w:eastAsiaTheme="majorEastAsia"/>
                <w:color w:val="auto"/>
                <w:szCs w:val="21"/>
                <w:highlight w:val="none"/>
              </w:rPr>
            </w:pPr>
          </w:p>
        </w:tc>
        <w:tc>
          <w:tcPr>
            <w:tcW w:w="815" w:type="dxa"/>
            <w:vMerge w:val="continue"/>
            <w:noWrap/>
            <w:vAlign w:val="center"/>
          </w:tcPr>
          <w:p>
            <w:pPr>
              <w:jc w:val="center"/>
              <w:rPr>
                <w:rFonts w:hint="default" w:ascii="Times New Roman" w:hAnsi="Times New Roman" w:cs="Times New Roman" w:eastAsiaTheme="majorEastAsia"/>
                <w:color w:val="auto"/>
                <w:szCs w:val="21"/>
                <w:highlight w:val="none"/>
              </w:rPr>
            </w:pPr>
          </w:p>
        </w:tc>
        <w:tc>
          <w:tcPr>
            <w:tcW w:w="1183"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南向</w:t>
            </w:r>
          </w:p>
        </w:tc>
        <w:tc>
          <w:tcPr>
            <w:tcW w:w="1359"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W/（㎡·K）</w:t>
            </w:r>
          </w:p>
        </w:tc>
        <w:tc>
          <w:tcPr>
            <w:tcW w:w="1248"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2.20</w:t>
            </w:r>
          </w:p>
        </w:tc>
        <w:tc>
          <w:tcPr>
            <w:tcW w:w="1201"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2.70</w:t>
            </w:r>
          </w:p>
        </w:tc>
        <w:tc>
          <w:tcPr>
            <w:tcW w:w="1150" w:type="dxa"/>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1" w:type="dxa"/>
            <w:vMerge w:val="continue"/>
            <w:noWrap/>
            <w:vAlign w:val="center"/>
          </w:tcPr>
          <w:p>
            <w:pPr>
              <w:jc w:val="center"/>
              <w:rPr>
                <w:rFonts w:hint="default" w:ascii="Times New Roman" w:hAnsi="Times New Roman" w:cs="Times New Roman" w:eastAsiaTheme="majorEastAsia"/>
                <w:color w:val="auto"/>
                <w:szCs w:val="21"/>
                <w:highlight w:val="none"/>
              </w:rPr>
            </w:pPr>
          </w:p>
        </w:tc>
        <w:tc>
          <w:tcPr>
            <w:tcW w:w="815" w:type="dxa"/>
            <w:vMerge w:val="continue"/>
            <w:noWrap/>
            <w:vAlign w:val="center"/>
          </w:tcPr>
          <w:p>
            <w:pPr>
              <w:jc w:val="center"/>
              <w:rPr>
                <w:rFonts w:hint="default" w:ascii="Times New Roman" w:hAnsi="Times New Roman" w:cs="Times New Roman" w:eastAsiaTheme="majorEastAsia"/>
                <w:color w:val="auto"/>
                <w:szCs w:val="21"/>
                <w:highlight w:val="none"/>
              </w:rPr>
            </w:pPr>
          </w:p>
        </w:tc>
        <w:tc>
          <w:tcPr>
            <w:tcW w:w="1183"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西向</w:t>
            </w:r>
          </w:p>
        </w:tc>
        <w:tc>
          <w:tcPr>
            <w:tcW w:w="1359"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W/（㎡·K）</w:t>
            </w:r>
          </w:p>
        </w:tc>
        <w:tc>
          <w:tcPr>
            <w:tcW w:w="1248"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2.20</w:t>
            </w:r>
          </w:p>
        </w:tc>
        <w:tc>
          <w:tcPr>
            <w:tcW w:w="1201"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2.70</w:t>
            </w:r>
          </w:p>
        </w:tc>
        <w:tc>
          <w:tcPr>
            <w:tcW w:w="1150" w:type="dxa"/>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1" w:type="dxa"/>
            <w:vMerge w:val="continue"/>
            <w:noWrap/>
            <w:vAlign w:val="center"/>
          </w:tcPr>
          <w:p>
            <w:pPr>
              <w:jc w:val="center"/>
              <w:rPr>
                <w:rFonts w:hint="default" w:ascii="Times New Roman" w:hAnsi="Times New Roman" w:cs="Times New Roman" w:eastAsiaTheme="majorEastAsia"/>
                <w:color w:val="auto"/>
                <w:szCs w:val="21"/>
                <w:highlight w:val="none"/>
              </w:rPr>
            </w:pPr>
          </w:p>
        </w:tc>
        <w:tc>
          <w:tcPr>
            <w:tcW w:w="815" w:type="dxa"/>
            <w:vMerge w:val="continue"/>
            <w:noWrap/>
            <w:vAlign w:val="center"/>
          </w:tcPr>
          <w:p>
            <w:pPr>
              <w:jc w:val="center"/>
              <w:rPr>
                <w:rFonts w:hint="default" w:ascii="Times New Roman" w:hAnsi="Times New Roman" w:cs="Times New Roman" w:eastAsiaTheme="majorEastAsia"/>
                <w:color w:val="auto"/>
                <w:szCs w:val="21"/>
                <w:highlight w:val="none"/>
              </w:rPr>
            </w:pPr>
          </w:p>
        </w:tc>
        <w:tc>
          <w:tcPr>
            <w:tcW w:w="1183"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北向</w:t>
            </w:r>
          </w:p>
        </w:tc>
        <w:tc>
          <w:tcPr>
            <w:tcW w:w="1359"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W/（㎡·K）</w:t>
            </w:r>
          </w:p>
        </w:tc>
        <w:tc>
          <w:tcPr>
            <w:tcW w:w="1248"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2.20</w:t>
            </w:r>
          </w:p>
        </w:tc>
        <w:tc>
          <w:tcPr>
            <w:tcW w:w="1201"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2.70</w:t>
            </w:r>
          </w:p>
        </w:tc>
        <w:tc>
          <w:tcPr>
            <w:tcW w:w="1150" w:type="dxa"/>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1" w:type="dxa"/>
            <w:vMerge w:val="continue"/>
            <w:noWrap/>
            <w:vAlign w:val="center"/>
          </w:tcPr>
          <w:p>
            <w:pPr>
              <w:jc w:val="center"/>
              <w:rPr>
                <w:rFonts w:hint="default" w:ascii="Times New Roman" w:hAnsi="Times New Roman" w:cs="Times New Roman" w:eastAsiaTheme="majorEastAsia"/>
                <w:color w:val="auto"/>
                <w:szCs w:val="21"/>
                <w:highlight w:val="none"/>
              </w:rPr>
            </w:pPr>
          </w:p>
        </w:tc>
        <w:tc>
          <w:tcPr>
            <w:tcW w:w="815" w:type="dxa"/>
            <w:vMerge w:val="restart"/>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太阳得热系数SHGC</w:t>
            </w:r>
          </w:p>
        </w:tc>
        <w:tc>
          <w:tcPr>
            <w:tcW w:w="1183"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东向</w:t>
            </w:r>
          </w:p>
        </w:tc>
        <w:tc>
          <w:tcPr>
            <w:tcW w:w="1359"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t>
            </w:r>
          </w:p>
        </w:tc>
        <w:tc>
          <w:tcPr>
            <w:tcW w:w="1248" w:type="dxa"/>
            <w:noWrap/>
          </w:tcPr>
          <w:p>
            <w:pPr>
              <w:jc w:val="center"/>
              <w:rPr>
                <w:rFonts w:hint="default" w:ascii="Times New Roman" w:hAnsi="Times New Roman" w:cs="Times New Roman" w:eastAsiaTheme="majorEastAsia"/>
                <w:color w:val="auto"/>
                <w:szCs w:val="21"/>
                <w:highlight w:val="none"/>
                <w:lang w:val="en-US" w:eastAsia="zh-CN"/>
              </w:rPr>
            </w:pPr>
            <w:r>
              <w:rPr>
                <w:rFonts w:hint="default" w:ascii="Times New Roman" w:hAnsi="Times New Roman" w:cs="Times New Roman" w:eastAsiaTheme="majorEastAsia"/>
                <w:color w:val="auto"/>
                <w:szCs w:val="21"/>
                <w:highlight w:val="none"/>
                <w:lang w:val="en-US" w:eastAsia="zh-CN"/>
              </w:rPr>
              <w:t>0.35</w:t>
            </w:r>
          </w:p>
        </w:tc>
        <w:tc>
          <w:tcPr>
            <w:tcW w:w="1201"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0.47</w:t>
            </w:r>
          </w:p>
        </w:tc>
        <w:tc>
          <w:tcPr>
            <w:tcW w:w="1150" w:type="dxa"/>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1" w:type="dxa"/>
            <w:vMerge w:val="continue"/>
            <w:noWrap/>
            <w:vAlign w:val="center"/>
          </w:tcPr>
          <w:p>
            <w:pPr>
              <w:jc w:val="center"/>
              <w:rPr>
                <w:rFonts w:hint="default" w:ascii="Times New Roman" w:hAnsi="Times New Roman" w:cs="Times New Roman" w:eastAsiaTheme="majorEastAsia"/>
                <w:color w:val="auto"/>
                <w:szCs w:val="21"/>
                <w:highlight w:val="none"/>
              </w:rPr>
            </w:pPr>
          </w:p>
        </w:tc>
        <w:tc>
          <w:tcPr>
            <w:tcW w:w="815" w:type="dxa"/>
            <w:vMerge w:val="continue"/>
            <w:noWrap/>
            <w:vAlign w:val="center"/>
          </w:tcPr>
          <w:p>
            <w:pPr>
              <w:jc w:val="center"/>
              <w:rPr>
                <w:rFonts w:hint="default" w:ascii="Times New Roman" w:hAnsi="Times New Roman" w:cs="Times New Roman" w:eastAsiaTheme="majorEastAsia"/>
                <w:color w:val="auto"/>
                <w:szCs w:val="21"/>
                <w:highlight w:val="none"/>
              </w:rPr>
            </w:pPr>
          </w:p>
        </w:tc>
        <w:tc>
          <w:tcPr>
            <w:tcW w:w="1183"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南向</w:t>
            </w:r>
          </w:p>
        </w:tc>
        <w:tc>
          <w:tcPr>
            <w:tcW w:w="1359"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t>
            </w:r>
          </w:p>
        </w:tc>
        <w:tc>
          <w:tcPr>
            <w:tcW w:w="1248"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lang w:val="en-US" w:eastAsia="zh-CN"/>
              </w:rPr>
              <w:t>0.35</w:t>
            </w:r>
          </w:p>
        </w:tc>
        <w:tc>
          <w:tcPr>
            <w:tcW w:w="1201"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0.47</w:t>
            </w:r>
          </w:p>
        </w:tc>
        <w:tc>
          <w:tcPr>
            <w:tcW w:w="1150" w:type="dxa"/>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1" w:type="dxa"/>
            <w:vMerge w:val="continue"/>
            <w:noWrap/>
            <w:vAlign w:val="center"/>
          </w:tcPr>
          <w:p>
            <w:pPr>
              <w:jc w:val="center"/>
              <w:rPr>
                <w:rFonts w:hint="default" w:ascii="Times New Roman" w:hAnsi="Times New Roman" w:cs="Times New Roman" w:eastAsiaTheme="majorEastAsia"/>
                <w:color w:val="auto"/>
                <w:szCs w:val="21"/>
                <w:highlight w:val="none"/>
              </w:rPr>
            </w:pPr>
          </w:p>
        </w:tc>
        <w:tc>
          <w:tcPr>
            <w:tcW w:w="815" w:type="dxa"/>
            <w:vMerge w:val="continue"/>
            <w:noWrap/>
            <w:vAlign w:val="center"/>
          </w:tcPr>
          <w:p>
            <w:pPr>
              <w:jc w:val="center"/>
              <w:rPr>
                <w:rFonts w:hint="default" w:ascii="Times New Roman" w:hAnsi="Times New Roman" w:cs="Times New Roman" w:eastAsiaTheme="majorEastAsia"/>
                <w:color w:val="auto"/>
                <w:szCs w:val="21"/>
                <w:highlight w:val="none"/>
              </w:rPr>
            </w:pPr>
          </w:p>
        </w:tc>
        <w:tc>
          <w:tcPr>
            <w:tcW w:w="1183"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西向</w:t>
            </w:r>
          </w:p>
        </w:tc>
        <w:tc>
          <w:tcPr>
            <w:tcW w:w="1359"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t>
            </w:r>
          </w:p>
        </w:tc>
        <w:tc>
          <w:tcPr>
            <w:tcW w:w="1248"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lang w:val="en-US" w:eastAsia="zh-CN"/>
              </w:rPr>
              <w:t>0.35</w:t>
            </w:r>
          </w:p>
        </w:tc>
        <w:tc>
          <w:tcPr>
            <w:tcW w:w="1201"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0.47</w:t>
            </w:r>
          </w:p>
        </w:tc>
        <w:tc>
          <w:tcPr>
            <w:tcW w:w="1150" w:type="dxa"/>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1" w:type="dxa"/>
            <w:vMerge w:val="continue"/>
            <w:noWrap/>
            <w:vAlign w:val="center"/>
          </w:tcPr>
          <w:p>
            <w:pPr>
              <w:jc w:val="center"/>
              <w:rPr>
                <w:rFonts w:hint="default" w:ascii="Times New Roman" w:hAnsi="Times New Roman" w:cs="Times New Roman" w:eastAsiaTheme="majorEastAsia"/>
                <w:color w:val="auto"/>
                <w:szCs w:val="21"/>
                <w:highlight w:val="none"/>
              </w:rPr>
            </w:pPr>
          </w:p>
        </w:tc>
        <w:tc>
          <w:tcPr>
            <w:tcW w:w="815" w:type="dxa"/>
            <w:vMerge w:val="continue"/>
            <w:noWrap/>
            <w:vAlign w:val="center"/>
          </w:tcPr>
          <w:p>
            <w:pPr>
              <w:jc w:val="center"/>
              <w:rPr>
                <w:rFonts w:hint="default" w:ascii="Times New Roman" w:hAnsi="Times New Roman" w:cs="Times New Roman" w:eastAsiaTheme="majorEastAsia"/>
                <w:color w:val="auto"/>
                <w:szCs w:val="21"/>
                <w:highlight w:val="none"/>
              </w:rPr>
            </w:pPr>
          </w:p>
        </w:tc>
        <w:tc>
          <w:tcPr>
            <w:tcW w:w="1183"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北向</w:t>
            </w:r>
          </w:p>
        </w:tc>
        <w:tc>
          <w:tcPr>
            <w:tcW w:w="1359"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t>
            </w:r>
          </w:p>
        </w:tc>
        <w:tc>
          <w:tcPr>
            <w:tcW w:w="1248"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lang w:val="en-US" w:eastAsia="zh-CN"/>
              </w:rPr>
              <w:t>0.35</w:t>
            </w:r>
          </w:p>
        </w:tc>
        <w:tc>
          <w:tcPr>
            <w:tcW w:w="1201"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0.47</w:t>
            </w:r>
          </w:p>
        </w:tc>
        <w:tc>
          <w:tcPr>
            <w:tcW w:w="1150" w:type="dxa"/>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1" w:type="dxa"/>
            <w:vMerge w:val="restart"/>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屋顶透明部分</w:t>
            </w:r>
          </w:p>
        </w:tc>
        <w:tc>
          <w:tcPr>
            <w:tcW w:w="1998" w:type="dxa"/>
            <w:gridSpan w:val="2"/>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传热系数K</w:t>
            </w:r>
          </w:p>
        </w:tc>
        <w:tc>
          <w:tcPr>
            <w:tcW w:w="1359" w:type="dxa"/>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w:t>
            </w:r>
            <w:r>
              <w:rPr>
                <w:rFonts w:hint="default" w:ascii="Times New Roman" w:hAnsi="Times New Roman" w:cs="Times New Roman" w:eastAsiaTheme="majorEastAsia"/>
                <w:color w:val="auto"/>
                <w:sz w:val="15"/>
                <w:szCs w:val="15"/>
                <w:highlight w:val="none"/>
              </w:rPr>
              <w:t>·</w:t>
            </w:r>
            <w:r>
              <w:rPr>
                <w:rFonts w:hint="default" w:ascii="Times New Roman" w:hAnsi="Times New Roman" w:cs="Times New Roman" w:eastAsiaTheme="majorEastAsia"/>
                <w:color w:val="auto"/>
                <w:szCs w:val="21"/>
                <w:highlight w:val="none"/>
              </w:rPr>
              <w:t>K）</w:t>
            </w:r>
          </w:p>
        </w:tc>
        <w:tc>
          <w:tcPr>
            <w:tcW w:w="1248"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t>
            </w:r>
          </w:p>
        </w:tc>
        <w:tc>
          <w:tcPr>
            <w:tcW w:w="1201"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t>
            </w:r>
          </w:p>
        </w:tc>
        <w:tc>
          <w:tcPr>
            <w:tcW w:w="1150" w:type="dxa"/>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1" w:type="dxa"/>
            <w:vMerge w:val="continue"/>
            <w:noWrap/>
            <w:vAlign w:val="center"/>
          </w:tcPr>
          <w:p>
            <w:pPr>
              <w:jc w:val="center"/>
              <w:rPr>
                <w:rFonts w:hint="default" w:ascii="Times New Roman" w:hAnsi="Times New Roman" w:cs="Times New Roman" w:eastAsiaTheme="majorEastAsia"/>
                <w:color w:val="auto"/>
                <w:szCs w:val="21"/>
                <w:highlight w:val="none"/>
              </w:rPr>
            </w:pPr>
          </w:p>
        </w:tc>
        <w:tc>
          <w:tcPr>
            <w:tcW w:w="1998" w:type="dxa"/>
            <w:gridSpan w:val="2"/>
            <w:noWrap/>
            <w:vAlign w:val="center"/>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太阳得热系数SHGC</w:t>
            </w:r>
          </w:p>
        </w:tc>
        <w:tc>
          <w:tcPr>
            <w:tcW w:w="1359"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t>
            </w:r>
          </w:p>
        </w:tc>
        <w:tc>
          <w:tcPr>
            <w:tcW w:w="1248"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t>
            </w:r>
          </w:p>
        </w:tc>
        <w:tc>
          <w:tcPr>
            <w:tcW w:w="1201" w:type="dxa"/>
            <w:noWrap/>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t>
            </w:r>
          </w:p>
        </w:tc>
        <w:tc>
          <w:tcPr>
            <w:tcW w:w="1150" w:type="dxa"/>
          </w:tcPr>
          <w:p>
            <w:pPr>
              <w:jc w:val="center"/>
              <w:rPr>
                <w:rFonts w:hint="default" w:ascii="Times New Roman" w:hAnsi="Times New Roman" w:cs="Times New Roman" w:eastAsiaTheme="majorEastAsia"/>
                <w:color w:val="auto"/>
                <w:szCs w:val="21"/>
                <w:highlight w:val="none"/>
              </w:rPr>
            </w:pPr>
            <w:r>
              <w:rPr>
                <w:rFonts w:hint="default" w:ascii="Times New Roman" w:hAnsi="Times New Roman" w:cs="Times New Roman" w:eastAsiaTheme="majorEastAsia"/>
                <w:color w:val="auto"/>
                <w:szCs w:val="21"/>
                <w:highlight w:val="none"/>
              </w:rPr>
              <w:t>/</w:t>
            </w:r>
          </w:p>
        </w:tc>
      </w:tr>
    </w:tbl>
    <w:p>
      <w:pPr>
        <w:spacing w:line="360" w:lineRule="auto"/>
        <w:ind w:firstLine="420"/>
        <w:rPr>
          <w:rFonts w:hint="default" w:ascii="Times New Roman" w:hAnsi="Times New Roman" w:cs="Times New Roman"/>
          <w:color w:val="auto"/>
          <w:sz w:val="24"/>
          <w:highlight w:val="none"/>
          <w:u w:val="single"/>
        </w:rPr>
      </w:pPr>
      <w:r>
        <w:rPr>
          <w:rFonts w:hint="default" w:ascii="Times New Roman" w:hAnsi="Times New Roman" w:cs="Times New Roman"/>
          <w:color w:val="auto"/>
          <w:sz w:val="24"/>
          <w:szCs w:val="24"/>
          <w:highlight w:val="none"/>
        </w:rPr>
        <w:t>供暖空调全年计算负荷降低幅度</w:t>
      </w:r>
    </w:p>
    <w:tbl>
      <w:tblPr>
        <w:tblStyle w:val="14"/>
        <w:tblW w:w="0" w:type="auto"/>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6"/>
        <w:gridCol w:w="2011"/>
        <w:gridCol w:w="2243"/>
        <w:gridCol w:w="21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4"/>
            <w:shd w:val="clear" w:color="auto" w:fill="9FD3A4"/>
            <w:noWrap/>
            <w:vAlign w:val="center"/>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b/>
                <w:color w:val="auto"/>
                <w:szCs w:val="21"/>
                <w:highlight w:val="none"/>
              </w:rPr>
              <w:t>供暖空调全年计算负荷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2126" w:type="dxa"/>
            <w:noWrap/>
            <w:vAlign w:val="center"/>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门卫</w:t>
            </w:r>
          </w:p>
        </w:tc>
        <w:tc>
          <w:tcPr>
            <w:tcW w:w="2011"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单位</w:t>
            </w:r>
          </w:p>
        </w:tc>
        <w:tc>
          <w:tcPr>
            <w:tcW w:w="2243"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实际建筑</w:t>
            </w:r>
          </w:p>
        </w:tc>
        <w:tc>
          <w:tcPr>
            <w:tcW w:w="2127"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参照建筑（限值）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2126" w:type="dxa"/>
            <w:noWrap/>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全年采暖负荷</w:t>
            </w:r>
          </w:p>
        </w:tc>
        <w:tc>
          <w:tcPr>
            <w:tcW w:w="2011"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kW</w:t>
            </w:r>
          </w:p>
        </w:tc>
        <w:tc>
          <w:tcPr>
            <w:tcW w:w="2243" w:type="dxa"/>
            <w:vAlign w:val="center"/>
          </w:tcPr>
          <w:p>
            <w:pPr>
              <w:widowControl/>
              <w:spacing w:line="288"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szCs w:val="21"/>
                <w:highlight w:val="none"/>
              </w:rPr>
              <w:t>/</w:t>
            </w:r>
          </w:p>
        </w:tc>
        <w:tc>
          <w:tcPr>
            <w:tcW w:w="2127" w:type="dxa"/>
            <w:vAlign w:val="center"/>
          </w:tcPr>
          <w:p>
            <w:pPr>
              <w:widowControl/>
              <w:spacing w:line="288"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2126" w:type="dxa"/>
            <w:noWrap/>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全年空调负荷</w:t>
            </w:r>
          </w:p>
        </w:tc>
        <w:tc>
          <w:tcPr>
            <w:tcW w:w="2011"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kW</w:t>
            </w:r>
          </w:p>
        </w:tc>
        <w:tc>
          <w:tcPr>
            <w:tcW w:w="2243" w:type="dxa"/>
            <w:vAlign w:val="center"/>
          </w:tcPr>
          <w:p>
            <w:pPr>
              <w:widowControl/>
              <w:spacing w:line="288"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szCs w:val="21"/>
                <w:highlight w:val="none"/>
              </w:rPr>
              <w:t>/</w:t>
            </w:r>
          </w:p>
        </w:tc>
        <w:tc>
          <w:tcPr>
            <w:tcW w:w="2127" w:type="dxa"/>
            <w:vAlign w:val="center"/>
          </w:tcPr>
          <w:p>
            <w:pPr>
              <w:widowControl/>
              <w:spacing w:line="288"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2126" w:type="dxa"/>
            <w:noWrap/>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全年总负荷</w:t>
            </w:r>
          </w:p>
        </w:tc>
        <w:tc>
          <w:tcPr>
            <w:tcW w:w="2011"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kW</w:t>
            </w:r>
          </w:p>
        </w:tc>
        <w:tc>
          <w:tcPr>
            <w:tcW w:w="2243" w:type="dxa"/>
            <w:vAlign w:val="center"/>
          </w:tcPr>
          <w:p>
            <w:pPr>
              <w:widowControl/>
              <w:spacing w:line="288"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szCs w:val="21"/>
                <w:highlight w:val="none"/>
              </w:rPr>
              <w:t>/</w:t>
            </w:r>
          </w:p>
        </w:tc>
        <w:tc>
          <w:tcPr>
            <w:tcW w:w="2127" w:type="dxa"/>
            <w:vAlign w:val="center"/>
          </w:tcPr>
          <w:p>
            <w:pPr>
              <w:widowControl/>
              <w:spacing w:line="288"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2126" w:type="dxa"/>
            <w:noWrap/>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负荷降低幅度</w:t>
            </w:r>
          </w:p>
        </w:tc>
        <w:tc>
          <w:tcPr>
            <w:tcW w:w="2011"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4370" w:type="dxa"/>
            <w:gridSpan w:val="2"/>
            <w:vAlign w:val="center"/>
          </w:tcPr>
          <w:p>
            <w:pPr>
              <w:widowControl/>
              <w:spacing w:line="288"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4"/>
            <w:noWrap/>
            <w:vAlign w:val="center"/>
          </w:tcPr>
          <w:p>
            <w:pPr>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注：1）围护结构热工性能比现行有关建筑节能设计标准规定的提高幅度达到5%或供暖空调全年计算负荷降低幅度达到5%。</w:t>
            </w:r>
          </w:p>
          <w:p>
            <w:pPr>
              <w:ind w:firstLine="420" w:firstLineChars="200"/>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2）二星级：围护结构提高10%或负荷降低10%。</w:t>
            </w:r>
          </w:p>
          <w:p>
            <w:pPr>
              <w:ind w:firstLine="420" w:firstLineChars="200"/>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3）三星级：围护结构提高20%或负荷降低15%。</w:t>
            </w:r>
          </w:p>
        </w:tc>
      </w:tr>
    </w:tbl>
    <w:p>
      <w:pPr>
        <w:spacing w:line="360" w:lineRule="auto"/>
        <w:ind w:firstLine="420"/>
        <w:rPr>
          <w:rFonts w:hint="default" w:ascii="Times New Roman" w:hAnsi="Times New Roman" w:cs="Times New Roman"/>
          <w:color w:val="auto"/>
          <w:sz w:val="24"/>
          <w:szCs w:val="24"/>
          <w:highlight w:val="none"/>
        </w:rPr>
      </w:pPr>
    </w:p>
    <w:p>
      <w:pPr>
        <w:spacing w:line="360" w:lineRule="auto"/>
        <w:ind w:firstLine="42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围护结构结露验算是否符合要求：■是□否</w:t>
      </w:r>
    </w:p>
    <w:tbl>
      <w:tblPr>
        <w:tblStyle w:val="14"/>
        <w:tblW w:w="0" w:type="auto"/>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6"/>
        <w:gridCol w:w="2694"/>
        <w:gridCol w:w="2055"/>
        <w:gridCol w:w="18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4"/>
            <w:shd w:val="clear" w:color="auto" w:fill="9FD3A4"/>
            <w:noWrap/>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结露检查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956"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围护结构类型</w:t>
            </w:r>
          </w:p>
        </w:tc>
        <w:tc>
          <w:tcPr>
            <w:tcW w:w="2694"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设计工况下的内表面温度</w:t>
            </w:r>
          </w:p>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2055"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室内空气露点温度</w:t>
            </w:r>
          </w:p>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8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是否符合要求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956"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外墙－屋顶</w:t>
            </w:r>
          </w:p>
        </w:tc>
        <w:tc>
          <w:tcPr>
            <w:tcW w:w="2694" w:type="dxa"/>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14.74</w:t>
            </w:r>
          </w:p>
        </w:tc>
        <w:tc>
          <w:tcPr>
            <w:tcW w:w="2055" w:type="dxa"/>
            <w:noWrap/>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10.12</w:t>
            </w:r>
          </w:p>
        </w:tc>
        <w:tc>
          <w:tcPr>
            <w:tcW w:w="1802" w:type="dxa"/>
          </w:tcPr>
          <w:p>
            <w:pPr>
              <w:widowControl/>
              <w:spacing w:line="288"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956"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外墙－窗左右口</w:t>
            </w:r>
          </w:p>
        </w:tc>
        <w:tc>
          <w:tcPr>
            <w:tcW w:w="2694" w:type="dxa"/>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14.45</w:t>
            </w:r>
          </w:p>
        </w:tc>
        <w:tc>
          <w:tcPr>
            <w:tcW w:w="2055" w:type="dxa"/>
            <w:noWrap/>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10.12</w:t>
            </w:r>
          </w:p>
        </w:tc>
        <w:tc>
          <w:tcPr>
            <w:tcW w:w="1802" w:type="dxa"/>
          </w:tcPr>
          <w:p>
            <w:pPr>
              <w:widowControl/>
              <w:spacing w:line="288"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956"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外墙－窗上口</w:t>
            </w:r>
          </w:p>
        </w:tc>
        <w:tc>
          <w:tcPr>
            <w:tcW w:w="2694" w:type="dxa"/>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14.45</w:t>
            </w:r>
          </w:p>
        </w:tc>
        <w:tc>
          <w:tcPr>
            <w:tcW w:w="2055" w:type="dxa"/>
            <w:noWrap/>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10.12</w:t>
            </w:r>
          </w:p>
        </w:tc>
        <w:tc>
          <w:tcPr>
            <w:tcW w:w="1802" w:type="dxa"/>
          </w:tcPr>
          <w:p>
            <w:pPr>
              <w:widowControl/>
              <w:spacing w:line="288"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956"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外墙－窗下口</w:t>
            </w:r>
          </w:p>
        </w:tc>
        <w:tc>
          <w:tcPr>
            <w:tcW w:w="2694" w:type="dxa"/>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14.60</w:t>
            </w:r>
          </w:p>
        </w:tc>
        <w:tc>
          <w:tcPr>
            <w:tcW w:w="2055" w:type="dxa"/>
            <w:noWrap/>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10.12</w:t>
            </w:r>
          </w:p>
        </w:tc>
        <w:tc>
          <w:tcPr>
            <w:tcW w:w="1802" w:type="dxa"/>
          </w:tcPr>
          <w:p>
            <w:pPr>
              <w:widowControl/>
              <w:spacing w:line="288"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956"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外墙－凸墙角</w:t>
            </w:r>
          </w:p>
        </w:tc>
        <w:tc>
          <w:tcPr>
            <w:tcW w:w="2694" w:type="dxa"/>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15.05</w:t>
            </w:r>
          </w:p>
        </w:tc>
        <w:tc>
          <w:tcPr>
            <w:tcW w:w="2055" w:type="dxa"/>
            <w:noWrap/>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10.12</w:t>
            </w:r>
          </w:p>
        </w:tc>
        <w:tc>
          <w:tcPr>
            <w:tcW w:w="1802" w:type="dxa"/>
          </w:tcPr>
          <w:p>
            <w:pPr>
              <w:widowControl/>
              <w:spacing w:line="288"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956"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外墙－凹墙角</w:t>
            </w:r>
          </w:p>
        </w:tc>
        <w:tc>
          <w:tcPr>
            <w:tcW w:w="2694" w:type="dxa"/>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16.83</w:t>
            </w:r>
          </w:p>
        </w:tc>
        <w:tc>
          <w:tcPr>
            <w:tcW w:w="2055" w:type="dxa"/>
            <w:noWrap/>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10.12</w:t>
            </w:r>
          </w:p>
        </w:tc>
        <w:tc>
          <w:tcPr>
            <w:tcW w:w="1802" w:type="dxa"/>
          </w:tcPr>
          <w:p>
            <w:pPr>
              <w:widowControl/>
              <w:spacing w:line="288"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956"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外墙－楼板</w:t>
            </w:r>
          </w:p>
        </w:tc>
        <w:tc>
          <w:tcPr>
            <w:tcW w:w="2694" w:type="dxa"/>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15.15</w:t>
            </w:r>
          </w:p>
        </w:tc>
        <w:tc>
          <w:tcPr>
            <w:tcW w:w="2055" w:type="dxa"/>
            <w:noWrap/>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10.12</w:t>
            </w:r>
          </w:p>
        </w:tc>
        <w:tc>
          <w:tcPr>
            <w:tcW w:w="1802" w:type="dxa"/>
          </w:tcPr>
          <w:p>
            <w:pPr>
              <w:widowControl/>
              <w:spacing w:line="288"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956"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外墙－挑空楼板</w:t>
            </w:r>
          </w:p>
        </w:tc>
        <w:tc>
          <w:tcPr>
            <w:tcW w:w="2694" w:type="dxa"/>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11.44</w:t>
            </w:r>
          </w:p>
        </w:tc>
        <w:tc>
          <w:tcPr>
            <w:tcW w:w="2055" w:type="dxa"/>
            <w:noWrap/>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10.12</w:t>
            </w:r>
          </w:p>
        </w:tc>
        <w:tc>
          <w:tcPr>
            <w:tcW w:w="1802" w:type="dxa"/>
          </w:tcPr>
          <w:p>
            <w:pPr>
              <w:widowControl/>
              <w:spacing w:line="288"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956"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外墙－内隔墙</w:t>
            </w:r>
          </w:p>
        </w:tc>
        <w:tc>
          <w:tcPr>
            <w:tcW w:w="2694" w:type="dxa"/>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16.21</w:t>
            </w:r>
          </w:p>
        </w:tc>
        <w:tc>
          <w:tcPr>
            <w:tcW w:w="2055" w:type="dxa"/>
            <w:noWrap/>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10.12</w:t>
            </w:r>
          </w:p>
        </w:tc>
        <w:tc>
          <w:tcPr>
            <w:tcW w:w="1802" w:type="dxa"/>
          </w:tcPr>
          <w:p>
            <w:pPr>
              <w:widowControl/>
              <w:spacing w:line="288" w:lineRule="auto"/>
              <w:jc w:val="center"/>
              <w:rPr>
                <w:rFonts w:hint="default" w:ascii="Times New Roman" w:hAnsi="Times New Roman" w:cs="Times New Roman"/>
                <w:color w:val="auto"/>
                <w:kern w:val="0"/>
                <w:szCs w:val="21"/>
                <w:highlight w:val="none"/>
                <w:lang w:val="en-US"/>
              </w:rPr>
            </w:pPr>
            <w:r>
              <w:rPr>
                <w:rFonts w:hint="default" w:ascii="Times New Roman" w:hAnsi="Times New Roman" w:cs="Times New Roman"/>
                <w:color w:val="auto"/>
                <w:kern w:val="0"/>
                <w:szCs w:val="21"/>
                <w:highlight w:val="none"/>
                <w:lang w:val="en-US"/>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4"/>
            <w:noWrap/>
            <w:vAlign w:val="center"/>
          </w:tcPr>
          <w:p>
            <w:pP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注：详见围护结构防结露验算报告。</w:t>
            </w:r>
          </w:p>
        </w:tc>
      </w:tr>
    </w:tbl>
    <w:p>
      <w:pPr>
        <w:spacing w:line="360" w:lineRule="auto"/>
        <w:ind w:firstLine="420"/>
        <w:rPr>
          <w:rFonts w:hint="default" w:ascii="Times New Roman" w:hAnsi="Times New Roman" w:cs="Times New Roman"/>
          <w:color w:val="auto"/>
          <w:highlight w:val="none"/>
        </w:rPr>
      </w:pPr>
      <w:r>
        <w:rPr>
          <w:rFonts w:hint="default" w:ascii="Times New Roman" w:hAnsi="Times New Roman" w:cs="Times New Roman"/>
          <w:color w:val="auto"/>
          <w:sz w:val="24"/>
          <w:szCs w:val="24"/>
          <w:highlight w:val="none"/>
        </w:rPr>
        <w:t>围护结构隔热性能是否符合要求：■是□否</w:t>
      </w:r>
      <w:r>
        <w:rPr>
          <w:rFonts w:hint="default" w:ascii="Times New Roman" w:hAnsi="Times New Roman" w:cs="Times New Roman"/>
          <w:color w:val="auto"/>
          <w:highlight w:val="none"/>
        </w:rPr>
        <w:br w:type="page"/>
      </w:r>
    </w:p>
    <w:tbl>
      <w:tblPr>
        <w:tblStyle w:val="14"/>
        <w:tblW w:w="0" w:type="auto"/>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701"/>
        <w:gridCol w:w="2126"/>
        <w:gridCol w:w="2027"/>
        <w:gridCol w:w="18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5"/>
            <w:shd w:val="clear" w:color="auto" w:fill="9FD3A4"/>
            <w:noWrap/>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color w:val="auto"/>
                <w:highlight w:val="none"/>
              </w:rPr>
              <w:br w:type="page"/>
            </w:r>
            <w:r>
              <w:rPr>
                <w:rFonts w:hint="default" w:ascii="Times New Roman" w:hAnsi="Times New Roman" w:cs="Times New Roman"/>
                <w:b/>
                <w:color w:val="auto"/>
                <w:szCs w:val="21"/>
                <w:highlight w:val="none"/>
              </w:rPr>
              <w:t>隔热性能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552"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围护结构类型</w:t>
            </w:r>
          </w:p>
        </w:tc>
        <w:tc>
          <w:tcPr>
            <w:tcW w:w="2126"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内表面最高温度</w:t>
            </w:r>
          </w:p>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2027"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标准限值要求</w:t>
            </w:r>
          </w:p>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8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是否符合要求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1" w:type="dxa"/>
            <w:vMerge w:val="restart"/>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自然通风房间</w:t>
            </w:r>
          </w:p>
        </w:tc>
        <w:tc>
          <w:tcPr>
            <w:tcW w:w="1701"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屋顶一</w:t>
            </w:r>
          </w:p>
        </w:tc>
        <w:tc>
          <w:tcPr>
            <w:tcW w:w="2126" w:type="dxa"/>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37.75</w:t>
            </w:r>
          </w:p>
        </w:tc>
        <w:tc>
          <w:tcPr>
            <w:tcW w:w="2027" w:type="dxa"/>
            <w:noWrap/>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39.80</w:t>
            </w:r>
          </w:p>
        </w:tc>
        <w:tc>
          <w:tcPr>
            <w:tcW w:w="18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trPr>
        <w:tc>
          <w:tcPr>
            <w:tcW w:w="851" w:type="dxa"/>
            <w:vMerge w:val="continue"/>
            <w:noWrap/>
            <w:vAlign w:val="center"/>
          </w:tcPr>
          <w:p>
            <w:pPr>
              <w:jc w:val="center"/>
              <w:rPr>
                <w:rFonts w:hint="default" w:ascii="Times New Roman" w:hAnsi="Times New Roman" w:cs="Times New Roman"/>
                <w:color w:val="auto"/>
                <w:szCs w:val="21"/>
                <w:highlight w:val="none"/>
              </w:rPr>
            </w:pPr>
          </w:p>
        </w:tc>
        <w:tc>
          <w:tcPr>
            <w:tcW w:w="1701"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东外墙一</w:t>
            </w:r>
          </w:p>
        </w:tc>
        <w:tc>
          <w:tcPr>
            <w:tcW w:w="2126" w:type="dxa"/>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38.87</w:t>
            </w:r>
          </w:p>
        </w:tc>
        <w:tc>
          <w:tcPr>
            <w:tcW w:w="2027" w:type="dxa"/>
            <w:noWrap/>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39.80</w:t>
            </w:r>
          </w:p>
        </w:tc>
        <w:tc>
          <w:tcPr>
            <w:tcW w:w="18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trPr>
        <w:tc>
          <w:tcPr>
            <w:tcW w:w="851" w:type="dxa"/>
            <w:vMerge w:val="continue"/>
            <w:noWrap/>
            <w:vAlign w:val="center"/>
          </w:tcPr>
          <w:p>
            <w:pPr>
              <w:jc w:val="center"/>
              <w:rPr>
                <w:rFonts w:hint="default" w:ascii="Times New Roman" w:hAnsi="Times New Roman" w:cs="Times New Roman"/>
                <w:color w:val="auto"/>
                <w:szCs w:val="21"/>
                <w:highlight w:val="none"/>
              </w:rPr>
            </w:pPr>
          </w:p>
        </w:tc>
        <w:tc>
          <w:tcPr>
            <w:tcW w:w="1701"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西外墙一</w:t>
            </w:r>
          </w:p>
        </w:tc>
        <w:tc>
          <w:tcPr>
            <w:tcW w:w="2126" w:type="dxa"/>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38.80</w:t>
            </w:r>
          </w:p>
        </w:tc>
        <w:tc>
          <w:tcPr>
            <w:tcW w:w="2027" w:type="dxa"/>
            <w:noWrap/>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39.80</w:t>
            </w:r>
          </w:p>
        </w:tc>
        <w:tc>
          <w:tcPr>
            <w:tcW w:w="18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1" w:type="dxa"/>
            <w:vMerge w:val="restart"/>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空调</w:t>
            </w:r>
          </w:p>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房间</w:t>
            </w:r>
          </w:p>
        </w:tc>
        <w:tc>
          <w:tcPr>
            <w:tcW w:w="1701"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屋顶一</w:t>
            </w:r>
          </w:p>
        </w:tc>
        <w:tc>
          <w:tcPr>
            <w:tcW w:w="2126" w:type="dxa"/>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27.11</w:t>
            </w:r>
          </w:p>
        </w:tc>
        <w:tc>
          <w:tcPr>
            <w:tcW w:w="2027" w:type="dxa"/>
            <w:noWrap/>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28.50</w:t>
            </w:r>
          </w:p>
        </w:tc>
        <w:tc>
          <w:tcPr>
            <w:tcW w:w="18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1" w:type="dxa"/>
            <w:vMerge w:val="continue"/>
            <w:noWrap/>
            <w:vAlign w:val="center"/>
          </w:tcPr>
          <w:p>
            <w:pPr>
              <w:jc w:val="center"/>
              <w:rPr>
                <w:rFonts w:hint="default" w:ascii="Times New Roman" w:hAnsi="Times New Roman" w:cs="Times New Roman"/>
                <w:color w:val="auto"/>
                <w:szCs w:val="21"/>
                <w:highlight w:val="none"/>
              </w:rPr>
            </w:pPr>
          </w:p>
        </w:tc>
        <w:tc>
          <w:tcPr>
            <w:tcW w:w="1701"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东外墙一</w:t>
            </w:r>
          </w:p>
        </w:tc>
        <w:tc>
          <w:tcPr>
            <w:tcW w:w="2126" w:type="dxa"/>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27.05</w:t>
            </w:r>
          </w:p>
        </w:tc>
        <w:tc>
          <w:tcPr>
            <w:tcW w:w="2027" w:type="dxa"/>
            <w:noWrap/>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28.00</w:t>
            </w:r>
          </w:p>
        </w:tc>
        <w:tc>
          <w:tcPr>
            <w:tcW w:w="18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1" w:type="dxa"/>
            <w:vMerge w:val="continue"/>
            <w:noWrap/>
            <w:vAlign w:val="center"/>
          </w:tcPr>
          <w:p>
            <w:pPr>
              <w:jc w:val="center"/>
              <w:rPr>
                <w:rFonts w:hint="default" w:ascii="Times New Roman" w:hAnsi="Times New Roman" w:cs="Times New Roman"/>
                <w:color w:val="auto"/>
                <w:szCs w:val="21"/>
                <w:highlight w:val="none"/>
              </w:rPr>
            </w:pPr>
          </w:p>
        </w:tc>
        <w:tc>
          <w:tcPr>
            <w:tcW w:w="1701"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西外墙一</w:t>
            </w:r>
          </w:p>
        </w:tc>
        <w:tc>
          <w:tcPr>
            <w:tcW w:w="2126" w:type="dxa"/>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27.10</w:t>
            </w:r>
          </w:p>
        </w:tc>
        <w:tc>
          <w:tcPr>
            <w:tcW w:w="2027" w:type="dxa"/>
            <w:noWrap/>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rPr>
              <w:t>28.00</w:t>
            </w:r>
          </w:p>
        </w:tc>
        <w:tc>
          <w:tcPr>
            <w:tcW w:w="18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5"/>
            <w:noWrap/>
            <w:vAlign w:val="center"/>
          </w:tcPr>
          <w:p>
            <w:pP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注：详见围护结构隔热性能计算书。</w:t>
            </w:r>
          </w:p>
        </w:tc>
      </w:tr>
    </w:tbl>
    <w:p>
      <w:pPr>
        <w:pStyle w:val="3"/>
        <w:numPr>
          <w:ilvl w:val="0"/>
          <w:numId w:val="8"/>
        </w:numPr>
        <w:spacing w:after="156"/>
        <w:rPr>
          <w:rFonts w:hint="default" w:ascii="Times New Roman" w:hAnsi="Times New Roman" w:cs="Times New Roman"/>
          <w:color w:val="auto"/>
          <w:highlight w:val="none"/>
        </w:rPr>
      </w:pPr>
      <w:bookmarkStart w:id="62" w:name="_Toc124520245"/>
      <w:bookmarkStart w:id="63" w:name="_Toc13637"/>
      <w:r>
        <w:rPr>
          <w:rFonts w:hint="default" w:ascii="Times New Roman" w:hAnsi="Times New Roman" w:cs="Times New Roman"/>
          <w:color w:val="auto"/>
          <w:highlight w:val="none"/>
        </w:rPr>
        <w:t>建筑造型要素</w:t>
      </w:r>
      <w:bookmarkEnd w:id="62"/>
      <w:bookmarkEnd w:id="63"/>
    </w:p>
    <w:p>
      <w:pPr>
        <w:spacing w:line="360" w:lineRule="auto"/>
        <w:ind w:firstLine="420"/>
        <w:rPr>
          <w:rFonts w:hint="default" w:ascii="Times New Roman" w:hAnsi="Times New Roman" w:cs="Times New Roman"/>
          <w:color w:val="auto"/>
          <w:sz w:val="24"/>
          <w:highlight w:val="none"/>
          <w:u w:val="single"/>
        </w:rPr>
      </w:pPr>
      <w:r>
        <w:rPr>
          <w:rFonts w:hint="default" w:ascii="Times New Roman" w:hAnsi="Times New Roman" w:cs="Times New Roman"/>
          <w:color w:val="auto"/>
          <w:sz w:val="24"/>
          <w:szCs w:val="24"/>
          <w:highlight w:val="none"/>
        </w:rPr>
        <w:t>装饰性构件造价占工程总造价的比例：</w:t>
      </w:r>
      <w:r>
        <w:rPr>
          <w:rFonts w:hint="default" w:ascii="Times New Roman" w:hAnsi="Times New Roman" w:cs="Times New Roman"/>
          <w:color w:val="auto"/>
          <w:sz w:val="24"/>
          <w:highlight w:val="none"/>
          <w:u w:val="single"/>
          <w:lang w:val="en-US" w:eastAsia="zh-CN"/>
        </w:rPr>
        <w:t>0.8</w:t>
      </w:r>
      <w:r>
        <w:rPr>
          <w:rFonts w:hint="default" w:ascii="Times New Roman" w:hAnsi="Times New Roman" w:cs="Times New Roman"/>
          <w:color w:val="auto"/>
          <w:sz w:val="24"/>
          <w:highlight w:val="none"/>
          <w:u w:val="single"/>
        </w:rPr>
        <w:t>%</w:t>
      </w:r>
    </w:p>
    <w:tbl>
      <w:tblPr>
        <w:tblStyle w:val="14"/>
        <w:tblW w:w="0" w:type="auto"/>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08"/>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2"/>
            <w:shd w:val="clear" w:color="auto" w:fill="9FD3A4"/>
            <w:noWrap/>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建筑装饰性构件使用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708"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是否使用了装饰性构件，包括超出安全防护高度2倍的女儿墙，仅用于装饰的塔、球、曲面，不具备功能作用的飘板、格栅、构架</w:t>
            </w:r>
          </w:p>
        </w:tc>
        <w:tc>
          <w:tcPr>
            <w:tcW w:w="1799"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708"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装饰性构件的造价（万元）</w:t>
            </w:r>
          </w:p>
        </w:tc>
        <w:tc>
          <w:tcPr>
            <w:tcW w:w="1799" w:type="dxa"/>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5.45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708"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工程总造价（万元）</w:t>
            </w:r>
          </w:p>
        </w:tc>
        <w:tc>
          <w:tcPr>
            <w:tcW w:w="1799" w:type="dxa"/>
            <w:vAlign w:val="top"/>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680.93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708"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装饰性构件造价占工程总造价的比例（%）</w:t>
            </w:r>
          </w:p>
        </w:tc>
        <w:tc>
          <w:tcPr>
            <w:tcW w:w="1799" w:type="dxa"/>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0.8</w:t>
            </w: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708"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女儿墙高度（m）</w:t>
            </w:r>
          </w:p>
        </w:tc>
        <w:tc>
          <w:tcPr>
            <w:tcW w:w="1799"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1.50</w:t>
            </w:r>
            <w:r>
              <w:rPr>
                <w:rFonts w:hint="default" w:ascii="Times New Roman" w:hAnsi="Times New Roman" w:cs="Times New Roman"/>
                <w:color w:val="auto"/>
                <w:szCs w:val="21"/>
                <w:highlight w:val="none"/>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708"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女儿墙高度</w:t>
            </w:r>
            <w:r>
              <w:rPr>
                <w:rFonts w:hint="default" w:ascii="Times New Roman" w:hAnsi="Times New Roman" w:cs="Times New Roman"/>
                <w:color w:val="auto"/>
                <w:szCs w:val="21"/>
                <w:highlight w:val="none"/>
                <w:lang w:val="zh-CN"/>
              </w:rPr>
              <w:t>是否超过规范要求的2倍</w:t>
            </w:r>
          </w:p>
        </w:tc>
        <w:tc>
          <w:tcPr>
            <w:tcW w:w="1799"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注：公共建筑的装饰性构件造价占建筑总造价的比例不应大于1%。</w:t>
            </w:r>
          </w:p>
        </w:tc>
      </w:tr>
    </w:tbl>
    <w:p>
      <w:pPr>
        <w:rPr>
          <w:rFonts w:hint="default" w:ascii="Times New Roman" w:hAnsi="Times New Roman" w:cs="Times New Roman"/>
          <w:color w:val="auto"/>
          <w:highlight w:val="none"/>
        </w:rPr>
      </w:pPr>
      <w:bookmarkStart w:id="64" w:name="_Toc21126"/>
      <w:r>
        <w:rPr>
          <w:rFonts w:hint="default" w:ascii="Times New Roman" w:hAnsi="Times New Roman" w:cs="Times New Roman"/>
          <w:color w:val="auto"/>
          <w:highlight w:val="none"/>
        </w:rPr>
        <w:br w:type="page"/>
      </w:r>
    </w:p>
    <w:p>
      <w:pPr>
        <w:pStyle w:val="3"/>
        <w:numPr>
          <w:ilvl w:val="0"/>
          <w:numId w:val="8"/>
        </w:numPr>
        <w:spacing w:after="156"/>
        <w:rPr>
          <w:rFonts w:hint="default" w:ascii="Times New Roman" w:hAnsi="Times New Roman" w:cs="Times New Roman"/>
          <w:color w:val="auto"/>
          <w:highlight w:val="none"/>
        </w:rPr>
      </w:pPr>
      <w:bookmarkStart w:id="65" w:name="_Toc124520246"/>
      <w:r>
        <w:rPr>
          <w:rFonts w:hint="default" w:ascii="Times New Roman" w:hAnsi="Times New Roman" w:cs="Times New Roman"/>
          <w:color w:val="auto"/>
          <w:highlight w:val="none"/>
        </w:rPr>
        <w:t>建筑光环境</w:t>
      </w:r>
      <w:bookmarkEnd w:id="64"/>
      <w:bookmarkEnd w:id="65"/>
    </w:p>
    <w:p>
      <w:pPr>
        <w:spacing w:line="360" w:lineRule="auto"/>
        <w:ind w:firstLine="42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公共建筑——采光照度值不低于采光要求的小时数平均不少于4h/d的面积占主要功能房间面积的比例（%）：</w:t>
      </w:r>
      <w:r>
        <w:rPr>
          <w:rFonts w:hint="default" w:ascii="Times New Roman" w:hAnsi="Times New Roman" w:cs="Times New Roman"/>
          <w:color w:val="auto"/>
          <w:sz w:val="24"/>
          <w:szCs w:val="24"/>
          <w:u w:val="single"/>
          <w:lang w:val="en-US" w:eastAsia="zh-CN"/>
        </w:rPr>
        <w:t>97</w:t>
      </w:r>
      <w:r>
        <w:rPr>
          <w:rFonts w:hint="default" w:ascii="Times New Roman" w:hAnsi="Times New Roman" w:cs="Times New Roman"/>
          <w:color w:val="auto"/>
          <w:sz w:val="24"/>
          <w:u w:val="single"/>
        </w:rPr>
        <w:t>（≥60）</w:t>
      </w:r>
    </w:p>
    <w:p>
      <w:pPr>
        <w:spacing w:line="360" w:lineRule="auto"/>
        <w:ind w:firstLine="420"/>
        <w:rPr>
          <w:rFonts w:hint="default" w:ascii="Times New Roman" w:hAnsi="Times New Roman" w:eastAsia="宋体" w:cs="Times New Roman"/>
          <w:color w:val="auto"/>
          <w:sz w:val="24"/>
          <w:u w:val="single"/>
          <w:lang w:eastAsia="zh-CN"/>
        </w:rPr>
      </w:pPr>
      <w:r>
        <w:rPr>
          <w:rFonts w:hint="default" w:ascii="Times New Roman" w:hAnsi="Times New Roman" w:cs="Times New Roman"/>
          <w:color w:val="auto"/>
          <w:sz w:val="24"/>
          <w:szCs w:val="24"/>
        </w:rPr>
        <w:t>内区采光系数满足采光要求的面积比例（%）：</w:t>
      </w:r>
      <w:r>
        <w:rPr>
          <w:rFonts w:hint="default" w:ascii="Times New Roman" w:hAnsi="Times New Roman" w:cs="Times New Roman"/>
          <w:color w:val="auto"/>
          <w:sz w:val="24"/>
          <w:szCs w:val="24"/>
          <w:u w:val="single"/>
          <w:lang w:val="en-US" w:eastAsia="zh-CN"/>
        </w:rPr>
        <w:t>100</w:t>
      </w:r>
    </w:p>
    <w:p>
      <w:pPr>
        <w:spacing w:line="360" w:lineRule="auto"/>
        <w:ind w:firstLine="420"/>
        <w:rPr>
          <w:rFonts w:hint="default" w:ascii="Times New Roman" w:hAnsi="Times New Roman" w:eastAsia="宋体" w:cs="Times New Roman"/>
          <w:color w:val="auto"/>
          <w:sz w:val="24"/>
          <w:u w:val="single"/>
          <w:lang w:eastAsia="zh-CN"/>
        </w:rPr>
      </w:pPr>
      <w:r>
        <w:rPr>
          <w:rFonts w:hint="default" w:ascii="Times New Roman" w:hAnsi="Times New Roman" w:cs="Times New Roman"/>
          <w:color w:val="auto"/>
          <w:sz w:val="24"/>
          <w:szCs w:val="24"/>
        </w:rPr>
        <w:t>地下室平均采光系数不小于0.5%的面积占首层地下室面积比例（%）：</w:t>
      </w:r>
      <w:r>
        <w:rPr>
          <w:rFonts w:hint="default" w:ascii="Times New Roman" w:hAnsi="Times New Roman" w:cs="Times New Roman"/>
          <w:color w:val="auto"/>
          <w:sz w:val="24"/>
          <w:u w:val="single"/>
          <w:lang w:val="en-US" w:eastAsia="zh-CN"/>
        </w:rPr>
        <w:t>0</w:t>
      </w:r>
    </w:p>
    <w:tbl>
      <w:tblPr>
        <w:tblStyle w:val="14"/>
        <w:tblW w:w="8507"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8"/>
        <w:gridCol w:w="1948"/>
        <w:gridCol w:w="1596"/>
        <w:gridCol w:w="2126"/>
        <w:gridCol w:w="14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5"/>
            <w:shd w:val="clear" w:color="auto" w:fill="9FD3A4"/>
            <w:noWrap/>
            <w:vAlign w:val="center"/>
          </w:tcPr>
          <w:p>
            <w:pPr>
              <w:spacing w:line="360" w:lineRule="auto"/>
              <w:rPr>
                <w:rFonts w:hint="default" w:ascii="Times New Roman" w:hAnsi="Times New Roman" w:cs="Times New Roman"/>
                <w:b/>
                <w:color w:val="auto"/>
                <w:szCs w:val="21"/>
              </w:rPr>
            </w:pPr>
            <w:r>
              <w:rPr>
                <w:rFonts w:hint="default" w:ascii="Times New Roman" w:hAnsi="Times New Roman" w:cs="Times New Roman"/>
                <w:b/>
                <w:color w:val="auto"/>
                <w:szCs w:val="21"/>
              </w:rPr>
              <w:t>自然光利用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7088" w:type="dxa"/>
            <w:gridSpan w:val="4"/>
            <w:noWrap/>
            <w:vAlign w:val="center"/>
          </w:tcPr>
          <w:p>
            <w:pPr>
              <w:rPr>
                <w:rFonts w:hint="default" w:ascii="Times New Roman" w:hAnsi="Times New Roman" w:cs="Times New Roman"/>
                <w:color w:val="auto"/>
                <w:szCs w:val="21"/>
              </w:rPr>
            </w:pPr>
            <w:r>
              <w:rPr>
                <w:rFonts w:hint="default" w:ascii="Times New Roman" w:hAnsi="Times New Roman" w:cs="Times New Roman"/>
                <w:color w:val="auto"/>
                <w:szCs w:val="21"/>
              </w:rPr>
              <w:t>主要功能房间眩光控制措施（窗帘、百页、调光玻璃等）：</w:t>
            </w:r>
          </w:p>
        </w:tc>
        <w:tc>
          <w:tcPr>
            <w:tcW w:w="1419" w:type="dxa"/>
            <w:noWrap w:val="0"/>
            <w:vAlign w:val="center"/>
          </w:tcPr>
          <w:p>
            <w:pPr>
              <w:rPr>
                <w:rFonts w:hint="default" w:ascii="Times New Roman" w:hAnsi="Times New Roman"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8507" w:type="dxa"/>
            <w:gridSpan w:val="5"/>
            <w:shd w:val="clear" w:color="auto" w:fill="9FD3A4"/>
            <w:noWrap/>
            <w:vAlign w:val="center"/>
          </w:tcPr>
          <w:p>
            <w:pPr>
              <w:rPr>
                <w:rFonts w:hint="default" w:ascii="Times New Roman" w:hAnsi="Times New Roman" w:cs="Times New Roman"/>
                <w:color w:val="auto"/>
                <w:szCs w:val="21"/>
              </w:rPr>
            </w:pPr>
            <w:r>
              <w:rPr>
                <w:rFonts w:hint="default" w:ascii="Times New Roman" w:hAnsi="Times New Roman" w:cs="Times New Roman"/>
                <w:color w:val="auto"/>
                <w:szCs w:val="21"/>
              </w:rPr>
              <w:t>公共建筑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 w:hRule="atLeast"/>
        </w:trPr>
        <w:tc>
          <w:tcPr>
            <w:tcW w:w="1418" w:type="dxa"/>
            <w:noWrap/>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rPr>
              <w:t>分析区域</w:t>
            </w:r>
          </w:p>
        </w:tc>
        <w:tc>
          <w:tcPr>
            <w:tcW w:w="3544" w:type="dxa"/>
            <w:gridSpan w:val="2"/>
            <w:noWrap w:val="0"/>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rPr>
              <w:t>采光照度值不低于采光要求的小时数平均不少于4h/d的面积</w:t>
            </w:r>
            <w:r>
              <w:rPr>
                <w:rFonts w:hint="default" w:ascii="Times New Roman" w:hAnsi="Times New Roman" w:cs="Times New Roman"/>
                <w:bCs/>
                <w:color w:val="auto"/>
                <w:szCs w:val="21"/>
              </w:rPr>
              <w:t>（m</w:t>
            </w:r>
            <w:r>
              <w:rPr>
                <w:rFonts w:hint="default" w:ascii="Times New Roman" w:hAnsi="Times New Roman" w:cs="Times New Roman"/>
                <w:bCs/>
                <w:color w:val="auto"/>
                <w:szCs w:val="21"/>
                <w:vertAlign w:val="superscript"/>
              </w:rPr>
              <w:t>2</w:t>
            </w:r>
            <w:r>
              <w:rPr>
                <w:rFonts w:hint="default" w:ascii="Times New Roman" w:hAnsi="Times New Roman" w:cs="Times New Roman"/>
                <w:bCs/>
                <w:color w:val="auto"/>
                <w:szCs w:val="21"/>
              </w:rPr>
              <w:t>）</w:t>
            </w:r>
          </w:p>
        </w:tc>
        <w:tc>
          <w:tcPr>
            <w:tcW w:w="2126" w:type="dxa"/>
            <w:noWrap w:val="0"/>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rPr>
              <w:t>主要功能房间面积</w:t>
            </w:r>
            <w:r>
              <w:rPr>
                <w:rFonts w:hint="default" w:ascii="Times New Roman" w:hAnsi="Times New Roman" w:cs="Times New Roman"/>
                <w:bCs/>
                <w:color w:val="auto"/>
                <w:szCs w:val="21"/>
              </w:rPr>
              <w:t>（m</w:t>
            </w:r>
            <w:r>
              <w:rPr>
                <w:rFonts w:hint="default" w:ascii="Times New Roman" w:hAnsi="Times New Roman" w:cs="Times New Roman"/>
                <w:bCs/>
                <w:color w:val="auto"/>
                <w:szCs w:val="21"/>
                <w:vertAlign w:val="superscript"/>
              </w:rPr>
              <w:t>2</w:t>
            </w:r>
            <w:r>
              <w:rPr>
                <w:rFonts w:hint="default" w:ascii="Times New Roman" w:hAnsi="Times New Roman" w:cs="Times New Roman"/>
                <w:bCs/>
                <w:color w:val="auto"/>
                <w:szCs w:val="21"/>
              </w:rPr>
              <w:t>）</w:t>
            </w:r>
          </w:p>
        </w:tc>
        <w:tc>
          <w:tcPr>
            <w:tcW w:w="1419" w:type="dxa"/>
            <w:noWrap w:val="0"/>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rPr>
              <w:t>达标比例</w:t>
            </w:r>
            <w:r>
              <w:rPr>
                <w:rFonts w:hint="default" w:ascii="Times New Roman" w:hAnsi="Times New Roman" w:cs="Times New Roman"/>
                <w:bCs/>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 w:hRule="atLeast"/>
        </w:trPr>
        <w:tc>
          <w:tcPr>
            <w:tcW w:w="1418" w:type="dxa"/>
            <w:noWrap/>
            <w:vAlign w:val="center"/>
          </w:tcPr>
          <w:p>
            <w:pPr>
              <w:jc w:val="center"/>
              <w:rPr>
                <w:rFonts w:hint="default" w:ascii="Times New Roman" w:hAnsi="Times New Roman" w:cs="Times New Roman"/>
                <w:color w:val="auto"/>
                <w:szCs w:val="21"/>
              </w:rPr>
            </w:pPr>
            <w:r>
              <w:rPr>
                <w:rFonts w:hint="default" w:ascii="Times New Roman" w:hAnsi="Times New Roman" w:cs="Times New Roman"/>
                <w:sz w:val="21"/>
                <w:szCs w:val="21"/>
              </w:rPr>
              <w:t>综合教学楼</w:t>
            </w:r>
          </w:p>
        </w:tc>
        <w:tc>
          <w:tcPr>
            <w:tcW w:w="3544" w:type="dxa"/>
            <w:gridSpan w:val="2"/>
            <w:noWrap w:val="0"/>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highlight w:val="none"/>
                <w:lang w:val="en-US" w:eastAsia="zh-CN"/>
              </w:rPr>
              <w:t>1198.29</w:t>
            </w:r>
          </w:p>
        </w:tc>
        <w:tc>
          <w:tcPr>
            <w:tcW w:w="2126" w:type="dxa"/>
            <w:noWrap w:val="0"/>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highlight w:val="none"/>
                <w:lang w:val="en-US" w:eastAsia="zh-CN"/>
              </w:rPr>
              <w:t>1235.36</w:t>
            </w:r>
          </w:p>
        </w:tc>
        <w:tc>
          <w:tcPr>
            <w:tcW w:w="1419" w:type="dxa"/>
            <w:noWrap w:val="0"/>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highlight w:val="none"/>
                <w:lang w:val="en-US" w:eastAsia="zh-CN"/>
              </w:rPr>
              <w:t>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8507" w:type="dxa"/>
            <w:gridSpan w:val="5"/>
            <w:shd w:val="clear" w:color="auto" w:fill="9FD3A4"/>
            <w:noWrap/>
            <w:vAlign w:val="center"/>
          </w:tcPr>
          <w:p>
            <w:pPr>
              <w:rPr>
                <w:rFonts w:hint="default" w:ascii="Times New Roman" w:hAnsi="Times New Roman" w:cs="Times New Roman"/>
                <w:color w:val="auto"/>
                <w:szCs w:val="21"/>
              </w:rPr>
            </w:pPr>
            <w:r>
              <w:rPr>
                <w:rFonts w:hint="default" w:ascii="Times New Roman" w:hAnsi="Times New Roman" w:cs="Times New Roman"/>
                <w:color w:val="auto"/>
                <w:szCs w:val="21"/>
              </w:rPr>
              <w:t>公共建筑内区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1418" w:type="dxa"/>
            <w:noWrap/>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rPr>
              <w:t>分析区域</w:t>
            </w:r>
          </w:p>
        </w:tc>
        <w:tc>
          <w:tcPr>
            <w:tcW w:w="1948" w:type="dxa"/>
            <w:noWrap w:val="0"/>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rPr>
              <w:t>主要功能房间面积</w:t>
            </w:r>
            <w:r>
              <w:rPr>
                <w:rFonts w:hint="default" w:ascii="Times New Roman" w:hAnsi="Times New Roman" w:cs="Times New Roman"/>
                <w:bCs/>
                <w:color w:val="auto"/>
                <w:szCs w:val="21"/>
              </w:rPr>
              <w:t>（m</w:t>
            </w:r>
            <w:r>
              <w:rPr>
                <w:rFonts w:hint="default" w:ascii="Times New Roman" w:hAnsi="Times New Roman" w:cs="Times New Roman"/>
                <w:bCs/>
                <w:color w:val="auto"/>
                <w:szCs w:val="21"/>
                <w:vertAlign w:val="superscript"/>
              </w:rPr>
              <w:t>2</w:t>
            </w:r>
            <w:r>
              <w:rPr>
                <w:rFonts w:hint="default" w:ascii="Times New Roman" w:hAnsi="Times New Roman" w:cs="Times New Roman"/>
                <w:bCs/>
                <w:color w:val="auto"/>
                <w:szCs w:val="21"/>
              </w:rPr>
              <w:t>）</w:t>
            </w:r>
          </w:p>
        </w:tc>
        <w:tc>
          <w:tcPr>
            <w:tcW w:w="1596" w:type="dxa"/>
            <w:noWrap w:val="0"/>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rPr>
              <w:t>内区面积</w:t>
            </w:r>
            <w:r>
              <w:rPr>
                <w:rFonts w:hint="default" w:ascii="Times New Roman" w:hAnsi="Times New Roman" w:cs="Times New Roman"/>
                <w:bCs/>
                <w:color w:val="auto"/>
                <w:szCs w:val="21"/>
              </w:rPr>
              <w:t>（m</w:t>
            </w:r>
            <w:r>
              <w:rPr>
                <w:rFonts w:hint="default" w:ascii="Times New Roman" w:hAnsi="Times New Roman" w:cs="Times New Roman"/>
                <w:bCs/>
                <w:color w:val="auto"/>
                <w:szCs w:val="21"/>
                <w:vertAlign w:val="superscript"/>
              </w:rPr>
              <w:t>2</w:t>
            </w:r>
            <w:r>
              <w:rPr>
                <w:rFonts w:hint="default" w:ascii="Times New Roman" w:hAnsi="Times New Roman" w:cs="Times New Roman"/>
                <w:bCs/>
                <w:color w:val="auto"/>
                <w:szCs w:val="21"/>
              </w:rPr>
              <w:t>）</w:t>
            </w:r>
          </w:p>
        </w:tc>
        <w:tc>
          <w:tcPr>
            <w:tcW w:w="2126" w:type="dxa"/>
            <w:noWrap w:val="0"/>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rPr>
              <w:t>采光达标面积</w:t>
            </w:r>
            <w:r>
              <w:rPr>
                <w:rFonts w:hint="default" w:ascii="Times New Roman" w:hAnsi="Times New Roman" w:cs="Times New Roman"/>
                <w:bCs/>
                <w:color w:val="auto"/>
                <w:szCs w:val="21"/>
              </w:rPr>
              <w:t>（m</w:t>
            </w:r>
            <w:r>
              <w:rPr>
                <w:rFonts w:hint="default" w:ascii="Times New Roman" w:hAnsi="Times New Roman" w:cs="Times New Roman"/>
                <w:bCs/>
                <w:color w:val="auto"/>
                <w:szCs w:val="21"/>
                <w:vertAlign w:val="superscript"/>
              </w:rPr>
              <w:t>2</w:t>
            </w:r>
            <w:r>
              <w:rPr>
                <w:rFonts w:hint="default" w:ascii="Times New Roman" w:hAnsi="Times New Roman" w:cs="Times New Roman"/>
                <w:bCs/>
                <w:color w:val="auto"/>
                <w:szCs w:val="21"/>
              </w:rPr>
              <w:t>）</w:t>
            </w:r>
          </w:p>
        </w:tc>
        <w:tc>
          <w:tcPr>
            <w:tcW w:w="1419" w:type="dxa"/>
            <w:noWrap w:val="0"/>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rPr>
              <w:t>达标比例</w:t>
            </w:r>
            <w:r>
              <w:rPr>
                <w:rFonts w:hint="default" w:ascii="Times New Roman" w:hAnsi="Times New Roman" w:cs="Times New Roman"/>
                <w:bCs/>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1418" w:type="dxa"/>
            <w:noWrap/>
            <w:vAlign w:val="center"/>
          </w:tcPr>
          <w:p>
            <w:pPr>
              <w:jc w:val="center"/>
              <w:rPr>
                <w:rFonts w:hint="default" w:ascii="Times New Roman" w:hAnsi="Times New Roman" w:cs="Times New Roman"/>
                <w:color w:val="auto"/>
                <w:szCs w:val="21"/>
              </w:rPr>
            </w:pPr>
            <w:r>
              <w:rPr>
                <w:rFonts w:hint="default" w:ascii="Times New Roman" w:hAnsi="Times New Roman" w:cs="Times New Roman"/>
                <w:sz w:val="21"/>
                <w:szCs w:val="21"/>
              </w:rPr>
              <w:t>综合教学楼</w:t>
            </w:r>
          </w:p>
        </w:tc>
        <w:tc>
          <w:tcPr>
            <w:tcW w:w="1948" w:type="dxa"/>
            <w:noWrap w:val="0"/>
            <w:vAlign w:val="bottom"/>
          </w:tcPr>
          <w:p>
            <w:pPr>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highlight w:val="none"/>
                <w:lang w:val="en-US" w:eastAsia="zh-CN"/>
              </w:rPr>
              <w:t>1235.36</w:t>
            </w:r>
          </w:p>
        </w:tc>
        <w:tc>
          <w:tcPr>
            <w:tcW w:w="1596" w:type="dxa"/>
            <w:noWrap w:val="0"/>
            <w:vAlign w:val="center"/>
          </w:tcPr>
          <w:p>
            <w:pPr>
              <w:jc w:val="center"/>
              <w:rPr>
                <w:rFonts w:hint="default" w:ascii="Times New Roman" w:hAnsi="Times New Roman" w:cs="Times New Roman"/>
                <w:color w:val="auto"/>
                <w:szCs w:val="21"/>
                <w:lang w:val="en-US" w:eastAsia="zh-CN"/>
              </w:rPr>
            </w:pPr>
            <w:r>
              <w:rPr>
                <w:rFonts w:hint="default" w:ascii="Times New Roman" w:hAnsi="Times New Roman" w:cs="Times New Roman"/>
              </w:rPr>
              <w:t>9.36</w:t>
            </w:r>
          </w:p>
        </w:tc>
        <w:tc>
          <w:tcPr>
            <w:tcW w:w="2126" w:type="dxa"/>
            <w:noWrap w:val="0"/>
            <w:vAlign w:val="center"/>
          </w:tcPr>
          <w:p>
            <w:pPr>
              <w:jc w:val="center"/>
              <w:rPr>
                <w:rFonts w:hint="default" w:ascii="Times New Roman" w:hAnsi="Times New Roman" w:cs="Times New Roman"/>
                <w:color w:val="auto"/>
                <w:szCs w:val="21"/>
                <w:lang w:val="en-US" w:eastAsia="zh-CN"/>
              </w:rPr>
            </w:pPr>
            <w:bookmarkStart w:id="66" w:name="采光面积"/>
            <w:r>
              <w:rPr>
                <w:rFonts w:hint="default" w:ascii="Times New Roman" w:hAnsi="Times New Roman" w:cs="Times New Roman"/>
              </w:rPr>
              <w:t>9.36</w:t>
            </w:r>
            <w:bookmarkEnd w:id="66"/>
          </w:p>
        </w:tc>
        <w:tc>
          <w:tcPr>
            <w:tcW w:w="1419" w:type="dxa"/>
            <w:noWrap w:val="0"/>
            <w:vAlign w:val="center"/>
          </w:tcPr>
          <w:p>
            <w:pPr>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8507" w:type="dxa"/>
            <w:gridSpan w:val="5"/>
            <w:shd w:val="clear" w:color="auto" w:fill="9FD3A4"/>
            <w:noWrap/>
            <w:vAlign w:val="center"/>
          </w:tcPr>
          <w:p>
            <w:pPr>
              <w:rPr>
                <w:rFonts w:hint="default" w:ascii="Times New Roman" w:hAnsi="Times New Roman" w:cs="Times New Roman"/>
                <w:color w:val="auto"/>
                <w:szCs w:val="21"/>
              </w:rPr>
            </w:pPr>
            <w:r>
              <w:rPr>
                <w:rFonts w:hint="default" w:ascii="Times New Roman" w:hAnsi="Times New Roman" w:cs="Times New Roman"/>
                <w:color w:val="auto"/>
                <w:szCs w:val="21"/>
              </w:rPr>
              <w:t>公共建筑地下室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1418" w:type="dxa"/>
            <w:noWrap/>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rPr>
              <w:t>分析区域</w:t>
            </w:r>
          </w:p>
        </w:tc>
        <w:tc>
          <w:tcPr>
            <w:tcW w:w="3544" w:type="dxa"/>
            <w:gridSpan w:val="2"/>
            <w:noWrap w:val="0"/>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rPr>
              <w:t>平均采光系数不小于0.5%的面积</w:t>
            </w:r>
            <w:r>
              <w:rPr>
                <w:rFonts w:hint="default" w:ascii="Times New Roman" w:hAnsi="Times New Roman" w:cs="Times New Roman"/>
                <w:bCs/>
                <w:color w:val="auto"/>
                <w:szCs w:val="21"/>
              </w:rPr>
              <w:t>（m</w:t>
            </w:r>
            <w:r>
              <w:rPr>
                <w:rFonts w:hint="default" w:ascii="Times New Roman" w:hAnsi="Times New Roman" w:cs="Times New Roman"/>
                <w:bCs/>
                <w:color w:val="auto"/>
                <w:szCs w:val="21"/>
                <w:vertAlign w:val="superscript"/>
              </w:rPr>
              <w:t>2</w:t>
            </w:r>
            <w:r>
              <w:rPr>
                <w:rFonts w:hint="default" w:ascii="Times New Roman" w:hAnsi="Times New Roman" w:cs="Times New Roman"/>
                <w:bCs/>
                <w:color w:val="auto"/>
                <w:szCs w:val="21"/>
              </w:rPr>
              <w:t>）</w:t>
            </w:r>
          </w:p>
        </w:tc>
        <w:tc>
          <w:tcPr>
            <w:tcW w:w="2126" w:type="dxa"/>
            <w:noWrap w:val="0"/>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rPr>
              <w:t>首层地下室面积</w:t>
            </w:r>
            <w:r>
              <w:rPr>
                <w:rFonts w:hint="default" w:ascii="Times New Roman" w:hAnsi="Times New Roman" w:cs="Times New Roman"/>
                <w:bCs/>
                <w:color w:val="auto"/>
                <w:szCs w:val="21"/>
              </w:rPr>
              <w:t>（m</w:t>
            </w:r>
            <w:r>
              <w:rPr>
                <w:rFonts w:hint="default" w:ascii="Times New Roman" w:hAnsi="Times New Roman" w:cs="Times New Roman"/>
                <w:bCs/>
                <w:color w:val="auto"/>
                <w:szCs w:val="21"/>
                <w:vertAlign w:val="superscript"/>
              </w:rPr>
              <w:t>2</w:t>
            </w:r>
            <w:r>
              <w:rPr>
                <w:rFonts w:hint="default" w:ascii="Times New Roman" w:hAnsi="Times New Roman" w:cs="Times New Roman"/>
                <w:bCs/>
                <w:color w:val="auto"/>
                <w:szCs w:val="21"/>
              </w:rPr>
              <w:t>）</w:t>
            </w:r>
          </w:p>
        </w:tc>
        <w:tc>
          <w:tcPr>
            <w:tcW w:w="1419" w:type="dxa"/>
            <w:noWrap w:val="0"/>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rPr>
              <w:t>达标比例</w:t>
            </w:r>
            <w:r>
              <w:rPr>
                <w:rFonts w:hint="default" w:ascii="Times New Roman" w:hAnsi="Times New Roman" w:cs="Times New Roman"/>
                <w:bCs/>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1418" w:type="dxa"/>
            <w:noWrap/>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rPr>
              <w:t>地下室</w:t>
            </w:r>
          </w:p>
        </w:tc>
        <w:tc>
          <w:tcPr>
            <w:tcW w:w="3544" w:type="dxa"/>
            <w:gridSpan w:val="2"/>
            <w:noWrap w:val="0"/>
            <w:vAlign w:val="center"/>
          </w:tcPr>
          <w:p>
            <w:pPr>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0.00</w:t>
            </w:r>
          </w:p>
        </w:tc>
        <w:tc>
          <w:tcPr>
            <w:tcW w:w="2126" w:type="dxa"/>
            <w:noWrap w:val="0"/>
            <w:vAlign w:val="center"/>
          </w:tcPr>
          <w:p>
            <w:pPr>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0.00</w:t>
            </w:r>
          </w:p>
        </w:tc>
        <w:tc>
          <w:tcPr>
            <w:tcW w:w="1419" w:type="dxa"/>
            <w:noWrap w:val="0"/>
            <w:vAlign w:val="center"/>
          </w:tcPr>
          <w:p>
            <w:pPr>
              <w:jc w:val="center"/>
              <w:rPr>
                <w:rFonts w:hint="default" w:ascii="Times New Roman" w:hAnsi="Times New Roman" w:cs="Times New Roman"/>
                <w:color w:val="auto"/>
                <w:szCs w:val="21"/>
              </w:rPr>
            </w:pPr>
            <w:r>
              <w:rPr>
                <w:rFonts w:hint="default" w:ascii="Times New Roman" w:hAnsi="Times New Roman" w:cs="Times New Roman"/>
                <w:color w:val="auto"/>
                <w:szCs w:val="21"/>
                <w:lang w:val="en-US" w:eastAsia="zh-CN"/>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8507" w:type="dxa"/>
            <w:gridSpan w:val="5"/>
            <w:noWrap/>
            <w:vAlign w:val="center"/>
          </w:tcPr>
          <w:p>
            <w:pPr>
              <w:rPr>
                <w:rFonts w:hint="default" w:ascii="Times New Roman" w:hAnsi="Times New Roman" w:cs="Times New Roman"/>
                <w:color w:val="auto"/>
                <w:szCs w:val="21"/>
              </w:rPr>
            </w:pPr>
            <w:r>
              <w:rPr>
                <w:rFonts w:hint="default" w:ascii="Times New Roman" w:hAnsi="Times New Roman" w:cs="Times New Roman"/>
                <w:color w:val="auto"/>
                <w:szCs w:val="21"/>
              </w:rPr>
              <w:t>注：1）详见室内自然采光模拟分析报告（含动态采光计算）。</w:t>
            </w:r>
          </w:p>
          <w:p>
            <w:pPr>
              <w:rPr>
                <w:rFonts w:hint="default" w:ascii="Times New Roman" w:hAnsi="Times New Roman" w:cs="Times New Roman"/>
                <w:color w:val="auto"/>
                <w:szCs w:val="21"/>
              </w:rPr>
            </w:pPr>
            <w:r>
              <w:rPr>
                <w:rFonts w:hint="default" w:ascii="Times New Roman" w:hAnsi="Times New Roman" w:cs="Times New Roman"/>
                <w:color w:val="auto"/>
                <w:szCs w:val="21"/>
              </w:rPr>
              <w:t>2）三星级：大底盘地下室应结合使用功能及景观设计设置天然采光设施。</w:t>
            </w:r>
          </w:p>
        </w:tc>
      </w:tr>
    </w:tbl>
    <w:p>
      <w:pPr>
        <w:spacing w:line="360" w:lineRule="auto"/>
        <w:ind w:firstLine="420"/>
        <w:rPr>
          <w:rFonts w:hint="default" w:ascii="Times New Roman" w:hAnsi="Times New Roman" w:cs="Times New Roman"/>
          <w:color w:val="auto"/>
          <w:sz w:val="24"/>
          <w:highlight w:val="none"/>
          <w:u w:val="single"/>
        </w:rPr>
      </w:pPr>
    </w:p>
    <w:tbl>
      <w:tblPr>
        <w:tblStyle w:val="14"/>
        <w:tblW w:w="0" w:type="auto"/>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709"/>
        <w:gridCol w:w="1275"/>
        <w:gridCol w:w="1418"/>
        <w:gridCol w:w="1276"/>
        <w:gridCol w:w="2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6"/>
            <w:shd w:val="clear" w:color="auto" w:fill="9FD3A4"/>
            <w:noWrap/>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可调节遮阳设施（外窗及幕墙）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trPr>
        <w:tc>
          <w:tcPr>
            <w:tcW w:w="993" w:type="dxa"/>
            <w:vMerge w:val="restart"/>
            <w:noWrap/>
            <w:vAlign w:val="center"/>
          </w:tcPr>
          <w:p>
            <w:pPr>
              <w:pStyle w:val="21"/>
              <w:spacing w:line="288" w:lineRule="auto"/>
              <w:jc w:val="center"/>
              <w:rPr>
                <w:rFonts w:hint="default" w:ascii="Times New Roman" w:hAnsi="Times New Roman" w:cs="Times New Roman"/>
                <w:color w:val="auto"/>
                <w:sz w:val="21"/>
                <w:szCs w:val="21"/>
                <w:highlight w:val="none"/>
              </w:rPr>
            </w:pPr>
            <w:r>
              <w:rPr>
                <w:rFonts w:hint="default" w:ascii="Times New Roman" w:hAnsi="Times New Roman" w:cs="Times New Roman"/>
                <w:bCs/>
                <w:color w:val="auto"/>
                <w:sz w:val="21"/>
                <w:szCs w:val="21"/>
                <w:highlight w:val="none"/>
              </w:rPr>
              <w:t>编号</w:t>
            </w:r>
          </w:p>
        </w:tc>
        <w:tc>
          <w:tcPr>
            <w:tcW w:w="709" w:type="dxa"/>
            <w:vMerge w:val="restart"/>
            <w:vAlign w:val="center"/>
          </w:tcPr>
          <w:p>
            <w:pPr>
              <w:pStyle w:val="21"/>
              <w:spacing w:line="288" w:lineRule="auto"/>
              <w:jc w:val="center"/>
              <w:rPr>
                <w:rFonts w:hint="default" w:ascii="Times New Roman" w:hAnsi="Times New Roman" w:cs="Times New Roman"/>
                <w:color w:val="auto"/>
                <w:sz w:val="21"/>
                <w:szCs w:val="21"/>
                <w:highlight w:val="none"/>
              </w:rPr>
            </w:pPr>
            <w:r>
              <w:rPr>
                <w:rFonts w:hint="default" w:ascii="Times New Roman" w:hAnsi="Times New Roman" w:cs="Times New Roman"/>
                <w:bCs/>
                <w:color w:val="auto"/>
                <w:sz w:val="21"/>
                <w:szCs w:val="21"/>
                <w:highlight w:val="none"/>
              </w:rPr>
              <w:t>朝向</w:t>
            </w:r>
          </w:p>
        </w:tc>
        <w:tc>
          <w:tcPr>
            <w:tcW w:w="2693" w:type="dxa"/>
            <w:gridSpan w:val="2"/>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尺寸</w:t>
            </w:r>
          </w:p>
        </w:tc>
        <w:tc>
          <w:tcPr>
            <w:tcW w:w="1276" w:type="dxa"/>
            <w:vMerge w:val="restart"/>
            <w:vAlign w:val="center"/>
          </w:tcPr>
          <w:p>
            <w:pPr>
              <w:pStyle w:val="21"/>
              <w:spacing w:line="288" w:lineRule="auto"/>
              <w:jc w:val="center"/>
              <w:rPr>
                <w:rFonts w:hint="default" w:ascii="Times New Roman" w:hAnsi="Times New Roman" w:cs="Times New Roman"/>
                <w:color w:val="auto"/>
                <w:sz w:val="21"/>
                <w:szCs w:val="21"/>
                <w:highlight w:val="none"/>
              </w:rPr>
            </w:pPr>
            <w:r>
              <w:rPr>
                <w:rFonts w:hint="default" w:ascii="Times New Roman" w:hAnsi="Times New Roman" w:cs="Times New Roman"/>
                <w:bCs/>
                <w:color w:val="auto"/>
                <w:sz w:val="21"/>
                <w:szCs w:val="21"/>
                <w:highlight w:val="none"/>
              </w:rPr>
              <w:t>数量（个）</w:t>
            </w:r>
          </w:p>
        </w:tc>
        <w:tc>
          <w:tcPr>
            <w:tcW w:w="2836" w:type="dxa"/>
            <w:vMerge w:val="restart"/>
            <w:vAlign w:val="center"/>
          </w:tcPr>
          <w:p>
            <w:pPr>
              <w:pStyle w:val="21"/>
              <w:spacing w:line="288" w:lineRule="auto"/>
              <w:jc w:val="center"/>
              <w:rPr>
                <w:rFonts w:hint="default" w:ascii="Times New Roman" w:hAnsi="Times New Roman" w:cs="Times New Roman"/>
                <w:color w:val="auto"/>
                <w:sz w:val="21"/>
                <w:szCs w:val="21"/>
                <w:highlight w:val="none"/>
              </w:rPr>
            </w:pPr>
            <w:r>
              <w:rPr>
                <w:rFonts w:hint="default" w:ascii="Times New Roman" w:hAnsi="Times New Roman" w:cs="Times New Roman"/>
                <w:bCs/>
                <w:color w:val="auto"/>
                <w:sz w:val="21"/>
                <w:szCs w:val="21"/>
                <w:highlight w:val="none"/>
              </w:rPr>
              <w:t>可调节遮阳设施的面积（m</w:t>
            </w:r>
            <w:r>
              <w:rPr>
                <w:rFonts w:hint="default" w:ascii="Times New Roman" w:hAnsi="Times New Roman" w:cs="Times New Roman"/>
                <w:bCs/>
                <w:color w:val="auto"/>
                <w:sz w:val="21"/>
                <w:szCs w:val="21"/>
                <w:highlight w:val="none"/>
                <w:vertAlign w:val="superscript"/>
              </w:rPr>
              <w:t>2</w:t>
            </w:r>
            <w:r>
              <w:rPr>
                <w:rFonts w:hint="default" w:ascii="Times New Roman" w:hAnsi="Times New Roman" w:cs="Times New Roman"/>
                <w:bCs/>
                <w:color w:val="auto"/>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trPr>
        <w:tc>
          <w:tcPr>
            <w:tcW w:w="993" w:type="dxa"/>
            <w:vMerge w:val="continue"/>
            <w:noWrap/>
            <w:vAlign w:val="center"/>
          </w:tcPr>
          <w:p>
            <w:pPr>
              <w:pStyle w:val="21"/>
              <w:spacing w:line="288" w:lineRule="auto"/>
              <w:jc w:val="center"/>
              <w:outlineLvl w:val="9"/>
              <w:rPr>
                <w:rFonts w:hint="default" w:ascii="Times New Roman" w:hAnsi="Times New Roman" w:cs="Times New Roman"/>
                <w:bCs/>
                <w:color w:val="auto"/>
                <w:sz w:val="21"/>
                <w:szCs w:val="21"/>
                <w:highlight w:val="none"/>
              </w:rPr>
            </w:pPr>
          </w:p>
        </w:tc>
        <w:tc>
          <w:tcPr>
            <w:tcW w:w="709" w:type="dxa"/>
            <w:vMerge w:val="continue"/>
            <w:vAlign w:val="center"/>
          </w:tcPr>
          <w:p>
            <w:pPr>
              <w:pStyle w:val="21"/>
              <w:spacing w:line="288" w:lineRule="auto"/>
              <w:jc w:val="center"/>
              <w:outlineLvl w:val="9"/>
              <w:rPr>
                <w:rFonts w:hint="default" w:ascii="Times New Roman" w:hAnsi="Times New Roman" w:cs="Times New Roman"/>
                <w:bCs/>
                <w:color w:val="auto"/>
                <w:sz w:val="21"/>
                <w:szCs w:val="21"/>
                <w:highlight w:val="none"/>
              </w:rPr>
            </w:pPr>
          </w:p>
        </w:tc>
        <w:tc>
          <w:tcPr>
            <w:tcW w:w="1275" w:type="dxa"/>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宽度（m）</w:t>
            </w:r>
          </w:p>
        </w:tc>
        <w:tc>
          <w:tcPr>
            <w:tcW w:w="1418" w:type="dxa"/>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高度（m）</w:t>
            </w:r>
          </w:p>
        </w:tc>
        <w:tc>
          <w:tcPr>
            <w:tcW w:w="1276" w:type="dxa"/>
            <w:vMerge w:val="continue"/>
            <w:vAlign w:val="center"/>
          </w:tcPr>
          <w:p>
            <w:pPr>
              <w:pStyle w:val="21"/>
              <w:spacing w:line="288" w:lineRule="auto"/>
              <w:jc w:val="center"/>
              <w:outlineLvl w:val="9"/>
              <w:rPr>
                <w:rFonts w:hint="default" w:ascii="Times New Roman" w:hAnsi="Times New Roman" w:cs="Times New Roman"/>
                <w:b/>
                <w:bCs/>
                <w:color w:val="auto"/>
                <w:sz w:val="21"/>
                <w:szCs w:val="21"/>
                <w:highlight w:val="none"/>
              </w:rPr>
            </w:pPr>
          </w:p>
        </w:tc>
        <w:tc>
          <w:tcPr>
            <w:tcW w:w="2836" w:type="dxa"/>
            <w:vMerge w:val="continue"/>
            <w:vAlign w:val="center"/>
          </w:tcPr>
          <w:p>
            <w:pPr>
              <w:pStyle w:val="21"/>
              <w:spacing w:line="288" w:lineRule="auto"/>
              <w:jc w:val="center"/>
              <w:outlineLvl w:val="9"/>
              <w:rPr>
                <w:rFonts w:hint="default" w:ascii="Times New Roman" w:hAnsi="Times New Roman" w:cs="Times New Roman"/>
                <w:b/>
                <w:bCs/>
                <w:color w:val="auto"/>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993"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709"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275"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418"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276"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2836"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993" w:type="dxa"/>
            <w:noWrap/>
            <w:vAlign w:val="center"/>
          </w:tcPr>
          <w:p>
            <w:pPr>
              <w:pStyle w:val="21"/>
              <w:spacing w:line="288" w:lineRule="auto"/>
              <w:jc w:val="center"/>
              <w:outlineLvl w:val="9"/>
              <w:rPr>
                <w:rFonts w:hint="default" w:ascii="Times New Roman" w:hAnsi="Times New Roman" w:cs="Times New Roman"/>
                <w:b/>
                <w:bCs/>
                <w:color w:val="auto"/>
                <w:sz w:val="21"/>
                <w:szCs w:val="21"/>
                <w:highlight w:val="none"/>
              </w:rPr>
            </w:pPr>
            <w:r>
              <w:rPr>
                <w:rFonts w:hint="default" w:ascii="Times New Roman" w:hAnsi="Times New Roman" w:cs="Times New Roman"/>
                <w:color w:val="auto"/>
                <w:sz w:val="21"/>
                <w:szCs w:val="21"/>
                <w:highlight w:val="none"/>
              </w:rPr>
              <w:t>/</w:t>
            </w:r>
          </w:p>
        </w:tc>
        <w:tc>
          <w:tcPr>
            <w:tcW w:w="709" w:type="dxa"/>
            <w:vAlign w:val="center"/>
          </w:tcPr>
          <w:p>
            <w:pPr>
              <w:pStyle w:val="21"/>
              <w:spacing w:line="288" w:lineRule="auto"/>
              <w:jc w:val="center"/>
              <w:outlineLvl w:val="9"/>
              <w:rPr>
                <w:rFonts w:hint="default" w:ascii="Times New Roman" w:hAnsi="Times New Roman" w:cs="Times New Roman"/>
                <w:b/>
                <w:bCs/>
                <w:color w:val="auto"/>
                <w:sz w:val="21"/>
                <w:szCs w:val="21"/>
                <w:highlight w:val="none"/>
              </w:rPr>
            </w:pPr>
            <w:r>
              <w:rPr>
                <w:rFonts w:hint="default" w:ascii="Times New Roman" w:hAnsi="Times New Roman" w:cs="Times New Roman"/>
                <w:color w:val="auto"/>
                <w:sz w:val="21"/>
                <w:szCs w:val="21"/>
                <w:highlight w:val="none"/>
              </w:rPr>
              <w:t>/</w:t>
            </w:r>
          </w:p>
        </w:tc>
        <w:tc>
          <w:tcPr>
            <w:tcW w:w="1275"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418"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276"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2836"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993" w:type="dxa"/>
            <w:noWrap/>
            <w:vAlign w:val="center"/>
          </w:tcPr>
          <w:p>
            <w:pPr>
              <w:pStyle w:val="21"/>
              <w:spacing w:line="288" w:lineRule="auto"/>
              <w:jc w:val="center"/>
              <w:outlineLvl w:val="9"/>
              <w:rPr>
                <w:rFonts w:hint="default" w:ascii="Times New Roman" w:hAnsi="Times New Roman" w:cs="Times New Roman"/>
                <w:b/>
                <w:bCs/>
                <w:color w:val="auto"/>
                <w:sz w:val="21"/>
                <w:szCs w:val="21"/>
                <w:highlight w:val="none"/>
              </w:rPr>
            </w:pPr>
            <w:r>
              <w:rPr>
                <w:rFonts w:hint="default" w:ascii="Times New Roman" w:hAnsi="Times New Roman" w:cs="Times New Roman"/>
                <w:color w:val="auto"/>
                <w:sz w:val="21"/>
                <w:szCs w:val="21"/>
                <w:highlight w:val="none"/>
              </w:rPr>
              <w:t>/</w:t>
            </w:r>
          </w:p>
        </w:tc>
        <w:tc>
          <w:tcPr>
            <w:tcW w:w="709" w:type="dxa"/>
            <w:vAlign w:val="center"/>
          </w:tcPr>
          <w:p>
            <w:pPr>
              <w:pStyle w:val="21"/>
              <w:spacing w:line="288" w:lineRule="auto"/>
              <w:jc w:val="center"/>
              <w:outlineLvl w:val="9"/>
              <w:rPr>
                <w:rFonts w:hint="default" w:ascii="Times New Roman" w:hAnsi="Times New Roman" w:cs="Times New Roman"/>
                <w:b/>
                <w:bCs/>
                <w:color w:val="auto"/>
                <w:sz w:val="21"/>
                <w:szCs w:val="21"/>
                <w:highlight w:val="none"/>
              </w:rPr>
            </w:pPr>
            <w:r>
              <w:rPr>
                <w:rFonts w:hint="default" w:ascii="Times New Roman" w:hAnsi="Times New Roman" w:cs="Times New Roman"/>
                <w:color w:val="auto"/>
                <w:sz w:val="21"/>
                <w:szCs w:val="21"/>
                <w:highlight w:val="none"/>
              </w:rPr>
              <w:t>/</w:t>
            </w:r>
          </w:p>
        </w:tc>
        <w:tc>
          <w:tcPr>
            <w:tcW w:w="1275"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418"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276"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2836"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993" w:type="dxa"/>
            <w:noWrap/>
            <w:vAlign w:val="center"/>
          </w:tcPr>
          <w:p>
            <w:pPr>
              <w:pStyle w:val="21"/>
              <w:spacing w:line="288" w:lineRule="auto"/>
              <w:jc w:val="center"/>
              <w:outlineLvl w:val="9"/>
              <w:rPr>
                <w:rFonts w:hint="default" w:ascii="Times New Roman" w:hAnsi="Times New Roman" w:cs="Times New Roman"/>
                <w:b/>
                <w:bCs/>
                <w:color w:val="auto"/>
                <w:sz w:val="21"/>
                <w:szCs w:val="21"/>
                <w:highlight w:val="none"/>
              </w:rPr>
            </w:pPr>
            <w:r>
              <w:rPr>
                <w:rFonts w:hint="default" w:ascii="Times New Roman" w:hAnsi="Times New Roman" w:cs="Times New Roman"/>
                <w:color w:val="auto"/>
                <w:sz w:val="21"/>
                <w:szCs w:val="21"/>
                <w:highlight w:val="none"/>
              </w:rPr>
              <w:t>/</w:t>
            </w:r>
          </w:p>
        </w:tc>
        <w:tc>
          <w:tcPr>
            <w:tcW w:w="709" w:type="dxa"/>
            <w:vAlign w:val="center"/>
          </w:tcPr>
          <w:p>
            <w:pPr>
              <w:pStyle w:val="21"/>
              <w:spacing w:line="288" w:lineRule="auto"/>
              <w:jc w:val="center"/>
              <w:outlineLvl w:val="9"/>
              <w:rPr>
                <w:rFonts w:hint="default" w:ascii="Times New Roman" w:hAnsi="Times New Roman" w:cs="Times New Roman"/>
                <w:b/>
                <w:bCs/>
                <w:color w:val="auto"/>
                <w:sz w:val="21"/>
                <w:szCs w:val="21"/>
                <w:highlight w:val="none"/>
              </w:rPr>
            </w:pPr>
            <w:r>
              <w:rPr>
                <w:rFonts w:hint="default" w:ascii="Times New Roman" w:hAnsi="Times New Roman" w:cs="Times New Roman"/>
                <w:color w:val="auto"/>
                <w:sz w:val="21"/>
                <w:szCs w:val="21"/>
                <w:highlight w:val="none"/>
              </w:rPr>
              <w:t>/</w:t>
            </w:r>
          </w:p>
        </w:tc>
        <w:tc>
          <w:tcPr>
            <w:tcW w:w="1275"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418"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276"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2836"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993" w:type="dxa"/>
            <w:noWrap/>
            <w:vAlign w:val="center"/>
          </w:tcPr>
          <w:p>
            <w:pPr>
              <w:pStyle w:val="21"/>
              <w:spacing w:line="288" w:lineRule="auto"/>
              <w:jc w:val="center"/>
              <w:outlineLvl w:val="9"/>
              <w:rPr>
                <w:rFonts w:hint="default" w:ascii="Times New Roman" w:hAnsi="Times New Roman" w:cs="Times New Roman"/>
                <w:b/>
                <w:bCs/>
                <w:color w:val="auto"/>
                <w:sz w:val="21"/>
                <w:szCs w:val="21"/>
                <w:highlight w:val="none"/>
              </w:rPr>
            </w:pPr>
            <w:r>
              <w:rPr>
                <w:rFonts w:hint="default" w:ascii="Times New Roman" w:hAnsi="Times New Roman" w:cs="Times New Roman"/>
                <w:color w:val="auto"/>
                <w:sz w:val="21"/>
                <w:szCs w:val="21"/>
                <w:highlight w:val="none"/>
              </w:rPr>
              <w:t>/</w:t>
            </w:r>
          </w:p>
        </w:tc>
        <w:tc>
          <w:tcPr>
            <w:tcW w:w="709" w:type="dxa"/>
            <w:vAlign w:val="center"/>
          </w:tcPr>
          <w:p>
            <w:pPr>
              <w:pStyle w:val="21"/>
              <w:spacing w:line="288" w:lineRule="auto"/>
              <w:jc w:val="center"/>
              <w:outlineLvl w:val="9"/>
              <w:rPr>
                <w:rFonts w:hint="default" w:ascii="Times New Roman" w:hAnsi="Times New Roman" w:cs="Times New Roman"/>
                <w:b/>
                <w:bCs/>
                <w:color w:val="auto"/>
                <w:sz w:val="21"/>
                <w:szCs w:val="21"/>
                <w:highlight w:val="none"/>
              </w:rPr>
            </w:pPr>
            <w:r>
              <w:rPr>
                <w:rFonts w:hint="default" w:ascii="Times New Roman" w:hAnsi="Times New Roman" w:cs="Times New Roman"/>
                <w:color w:val="auto"/>
                <w:sz w:val="21"/>
                <w:szCs w:val="21"/>
                <w:highlight w:val="none"/>
              </w:rPr>
              <w:t>/</w:t>
            </w:r>
          </w:p>
        </w:tc>
        <w:tc>
          <w:tcPr>
            <w:tcW w:w="1275"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418"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276"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2836"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5671" w:type="dxa"/>
            <w:gridSpan w:val="5"/>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总计</w:t>
            </w:r>
          </w:p>
        </w:tc>
        <w:tc>
          <w:tcPr>
            <w:tcW w:w="2836" w:type="dxa"/>
            <w:vAlign w:val="center"/>
          </w:tcPr>
          <w:p>
            <w:pPr>
              <w:jc w:val="center"/>
              <w:rPr>
                <w:rFonts w:hint="default" w:ascii="Times New Roman" w:hAnsi="Times New Roman" w:cs="Times New Roman"/>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5671" w:type="dxa"/>
            <w:gridSpan w:val="5"/>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zh-CN"/>
              </w:rPr>
              <w:t>有阳光直射的外窗和幕墙透明部分面积</w:t>
            </w:r>
            <w:r>
              <w:rPr>
                <w:rFonts w:hint="default" w:ascii="Times New Roman" w:hAnsi="Times New Roman" w:cs="Times New Roman"/>
                <w:bCs/>
                <w:color w:val="auto"/>
                <w:szCs w:val="21"/>
                <w:highlight w:val="none"/>
              </w:rPr>
              <w:t>（m</w:t>
            </w:r>
            <w:r>
              <w:rPr>
                <w:rFonts w:hint="default" w:ascii="Times New Roman" w:hAnsi="Times New Roman" w:cs="Times New Roman"/>
                <w:bCs/>
                <w:color w:val="auto"/>
                <w:szCs w:val="21"/>
                <w:highlight w:val="none"/>
                <w:vertAlign w:val="superscript"/>
              </w:rPr>
              <w:t>2</w:t>
            </w:r>
            <w:r>
              <w:rPr>
                <w:rFonts w:hint="default" w:ascii="Times New Roman" w:hAnsi="Times New Roman" w:cs="Times New Roman"/>
                <w:bCs/>
                <w:color w:val="auto"/>
                <w:szCs w:val="21"/>
                <w:highlight w:val="none"/>
              </w:rPr>
              <w:t>）</w:t>
            </w:r>
          </w:p>
        </w:tc>
        <w:tc>
          <w:tcPr>
            <w:tcW w:w="2836" w:type="dxa"/>
            <w:vAlign w:val="center"/>
          </w:tcPr>
          <w:p>
            <w:pPr>
              <w:jc w:val="center"/>
              <w:rPr>
                <w:rFonts w:hint="default" w:ascii="Times New Roman" w:hAnsi="Times New Roman" w:cs="Times New Roman"/>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5671" w:type="dxa"/>
            <w:gridSpan w:val="5"/>
            <w:noWrap/>
            <w:vAlign w:val="center"/>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rPr>
              <w:t>可调节遮阳设施的面积占外窗（包括透光幕墙）透明部分的比例</w:t>
            </w:r>
            <w:r>
              <w:rPr>
                <w:rFonts w:hint="default" w:ascii="Times New Roman" w:hAnsi="Times New Roman" w:cs="Times New Roman"/>
                <w:bCs/>
                <w:color w:val="auto"/>
                <w:szCs w:val="21"/>
                <w:highlight w:val="none"/>
              </w:rPr>
              <w:t>（%）</w:t>
            </w:r>
          </w:p>
        </w:tc>
        <w:tc>
          <w:tcPr>
            <w:tcW w:w="2836" w:type="dxa"/>
            <w:vAlign w:val="center"/>
          </w:tcPr>
          <w:p>
            <w:pPr>
              <w:jc w:val="center"/>
              <w:rPr>
                <w:rFonts w:hint="default" w:ascii="Times New Roman" w:hAnsi="Times New Roman" w:cs="Times New Roman"/>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8507" w:type="dxa"/>
            <w:gridSpan w:val="6"/>
            <w:noWrap/>
            <w:vAlign w:val="center"/>
          </w:tcPr>
          <w:p>
            <w:pPr>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注：1）三星级：可调节遮阳设施的面积占外窗（包括透光幕墙）透明部分的比例不应低于25%。</w:t>
            </w:r>
          </w:p>
        </w:tc>
      </w:tr>
    </w:tbl>
    <w:p>
      <w:pPr>
        <w:pStyle w:val="3"/>
        <w:numPr>
          <w:ilvl w:val="0"/>
          <w:numId w:val="8"/>
        </w:numPr>
        <w:spacing w:after="156"/>
        <w:rPr>
          <w:rFonts w:hint="default" w:ascii="Times New Roman" w:hAnsi="Times New Roman" w:cs="Times New Roman"/>
          <w:color w:val="auto"/>
          <w:highlight w:val="none"/>
        </w:rPr>
      </w:pPr>
      <w:bookmarkStart w:id="67" w:name="_Toc124520247"/>
      <w:bookmarkStart w:id="68" w:name="_Toc2213"/>
      <w:bookmarkStart w:id="69" w:name="_Toc124520248"/>
      <w:bookmarkStart w:id="70" w:name="_Toc1550"/>
      <w:r>
        <w:rPr>
          <w:rFonts w:hint="default" w:ascii="Times New Roman" w:hAnsi="Times New Roman" w:cs="Times New Roman"/>
          <w:color w:val="auto"/>
          <w:highlight w:val="none"/>
        </w:rPr>
        <w:t>建筑风环境</w:t>
      </w:r>
      <w:bookmarkEnd w:id="67"/>
      <w:bookmarkEnd w:id="68"/>
    </w:p>
    <w:p>
      <w:pPr>
        <w:spacing w:line="360" w:lineRule="auto"/>
        <w:ind w:firstLine="420"/>
        <w:rPr>
          <w:rFonts w:hint="default" w:ascii="Times New Roman" w:hAnsi="Times New Roman" w:cs="Times New Roman"/>
          <w:color w:val="auto"/>
          <w:sz w:val="24"/>
          <w:highlight w:val="none"/>
          <w:u w:val="single"/>
        </w:rPr>
      </w:pPr>
      <w:r>
        <w:rPr>
          <w:rFonts w:hint="default" w:ascii="Times New Roman" w:hAnsi="Times New Roman" w:cs="Times New Roman"/>
          <w:color w:val="auto"/>
          <w:sz w:val="24"/>
          <w:szCs w:val="24"/>
          <w:highlight w:val="none"/>
        </w:rPr>
        <w:t>避免厨房、餐厅、打印复印室、卫生间、地下车库等区域的空气和污染物串通到其他空间，防止厨房、卫生间的排气倒灌的措施：</w:t>
      </w:r>
      <w:r>
        <w:rPr>
          <w:rFonts w:hint="default" w:ascii="Times New Roman" w:hAnsi="Times New Roman" w:cs="Times New Roman"/>
          <w:color w:val="auto"/>
          <w:sz w:val="24"/>
          <w:highlight w:val="none"/>
          <w:u w:val="single"/>
        </w:rPr>
        <w:t xml:space="preserve"> </w:t>
      </w:r>
    </w:p>
    <w:tbl>
      <w:tblPr>
        <w:tblStyle w:val="14"/>
        <w:tblW w:w="0" w:type="auto"/>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05"/>
        <w:gridCol w:w="18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2"/>
            <w:shd w:val="clear" w:color="auto" w:fill="9FD3A4"/>
            <w:noWrap/>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气流组织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2"/>
            <w:shd w:val="clear" w:color="auto" w:fill="9FD3A4"/>
            <w:noWrap/>
            <w:vAlign w:val="center"/>
          </w:tcPr>
          <w:p>
            <w:pP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避免厨房、餐厅、打印复印室、卫生间、地下车库等区域的空气和污染物串通到其他空间，防止厨房、卫生间的排气倒灌的措施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705" w:type="dxa"/>
            <w:noWrap/>
            <w:vAlign w:val="center"/>
          </w:tcPr>
          <w:p>
            <w:pP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污染源空间和其他空间之间合理隔断</w:t>
            </w:r>
          </w:p>
        </w:tc>
        <w:tc>
          <w:tcPr>
            <w:tcW w:w="1802"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eastAsia="仿宋" w:cs="Times New Roman"/>
                <w:color w:val="auto"/>
                <w:w w:val="98"/>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705" w:type="dxa"/>
            <w:noWrap/>
            <w:vAlign w:val="center"/>
          </w:tcPr>
          <w:p>
            <w:pP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将厨房和卫生间设置于建筑单元(或户型)自然通风的负压侧</w:t>
            </w:r>
          </w:p>
        </w:tc>
        <w:tc>
          <w:tcPr>
            <w:tcW w:w="1802"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eastAsia="仿宋" w:cs="Times New Roman"/>
                <w:color w:val="auto"/>
                <w:w w:val="98"/>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705" w:type="dxa"/>
            <w:noWrap/>
            <w:vAlign w:val="center"/>
          </w:tcPr>
          <w:p>
            <w:pP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对不同功能房间保证一定压差，避免气味或污染物串通到室内其他空间。如设置机械排风，应保证负压，注意其取风口和排风口的位置，避免短路或污染</w:t>
            </w:r>
          </w:p>
        </w:tc>
        <w:tc>
          <w:tcPr>
            <w:tcW w:w="1802"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eastAsia="仿宋" w:cs="Times New Roman"/>
                <w:color w:val="auto"/>
                <w:w w:val="98"/>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705" w:type="dxa"/>
            <w:noWrap/>
            <w:vAlign w:val="center"/>
          </w:tcPr>
          <w:p>
            <w:pP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厨房、卫生间安装局部机械排风装置，同时考虑补风措施。当采用竖向通风道时，厨房、卫生间不与其他场所合用风道系统</w:t>
            </w:r>
          </w:p>
        </w:tc>
        <w:tc>
          <w:tcPr>
            <w:tcW w:w="1802"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eastAsia="仿宋" w:cs="Times New Roman"/>
                <w:color w:val="auto"/>
                <w:w w:val="98"/>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705" w:type="dxa"/>
            <w:noWrap/>
            <w:vAlign w:val="center"/>
          </w:tcPr>
          <w:p>
            <w:pP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厨房和卫生间排气道的断面、形状、尺寸和内壁有利于排烟(气)通畅，防止产生阻滞、涡流、串烟、漏气和倒灌等现象。</w:t>
            </w:r>
          </w:p>
        </w:tc>
        <w:tc>
          <w:tcPr>
            <w:tcW w:w="1802"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eastAsia="仿宋" w:cs="Times New Roman"/>
                <w:color w:val="auto"/>
                <w:w w:val="98"/>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2"/>
            <w:noWrap/>
            <w:vAlign w:val="center"/>
          </w:tcPr>
          <w:p>
            <w:pP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其他措施：</w:t>
            </w:r>
            <w:r>
              <w:rPr>
                <w:rFonts w:hint="default" w:ascii="Times New Roman" w:hAnsi="Times New Roman" w:cs="Times New Roman"/>
                <w:color w:val="auto"/>
                <w:szCs w:val="21"/>
                <w:highlight w:val="none"/>
                <w:u w:val="single"/>
              </w:rPr>
              <w:t>无</w:t>
            </w:r>
          </w:p>
        </w:tc>
      </w:tr>
    </w:tbl>
    <w:p>
      <w:pPr>
        <w:spacing w:line="360" w:lineRule="auto"/>
        <w:ind w:firstLine="420"/>
        <w:rPr>
          <w:rFonts w:hint="default" w:ascii="Times New Roman" w:hAnsi="Times New Roman" w:cs="Times New Roman"/>
          <w:color w:val="auto"/>
          <w:sz w:val="24"/>
          <w:highlight w:val="none"/>
          <w:u w:val="single"/>
        </w:rPr>
      </w:pPr>
    </w:p>
    <w:tbl>
      <w:tblPr>
        <w:tblStyle w:val="14"/>
        <w:tblpPr w:leftFromText="180" w:rightFromText="180" w:vertAnchor="text" w:horzAnchor="page" w:tblpX="1663" w:tblpY="439"/>
        <w:tblOverlap w:val="never"/>
        <w:tblW w:w="85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5"/>
        <w:gridCol w:w="949"/>
        <w:gridCol w:w="1602"/>
        <w:gridCol w:w="927"/>
        <w:gridCol w:w="2333"/>
        <w:gridCol w:w="15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6"/>
            <w:shd w:val="clear" w:color="auto" w:fill="9FD3A4"/>
            <w:noWrap/>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自然通风（公共建筑）1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 w:hRule="atLeast"/>
        </w:trPr>
        <w:tc>
          <w:tcPr>
            <w:tcW w:w="1135"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分析区域</w:t>
            </w:r>
          </w:p>
        </w:tc>
        <w:tc>
          <w:tcPr>
            <w:tcW w:w="2551" w:type="dxa"/>
            <w:gridSpan w:val="2"/>
            <w:noWrap w:val="0"/>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主要功能房间面积</w:t>
            </w:r>
          </w:p>
          <w:p>
            <w:pPr>
              <w:jc w:val="center"/>
              <w:rPr>
                <w:rFonts w:hint="default" w:ascii="Times New Roman" w:hAnsi="Times New Roman" w:cs="Times New Roman"/>
                <w:color w:val="auto"/>
                <w:szCs w:val="21"/>
                <w:highlight w:val="none"/>
              </w:rPr>
            </w:pPr>
            <w:r>
              <w:rPr>
                <w:rFonts w:hint="default" w:ascii="Times New Roman" w:hAnsi="Times New Roman" w:cs="Times New Roman"/>
                <w:bCs/>
                <w:color w:val="auto"/>
                <w:szCs w:val="21"/>
                <w:highlight w:val="none"/>
              </w:rPr>
              <w:t>（m</w:t>
            </w:r>
            <w:r>
              <w:rPr>
                <w:rFonts w:hint="default" w:ascii="Times New Roman" w:hAnsi="Times New Roman" w:cs="Times New Roman"/>
                <w:bCs/>
                <w:color w:val="auto"/>
                <w:szCs w:val="21"/>
                <w:highlight w:val="none"/>
                <w:vertAlign w:val="superscript"/>
              </w:rPr>
              <w:t>2</w:t>
            </w:r>
            <w:r>
              <w:rPr>
                <w:rFonts w:hint="default" w:ascii="Times New Roman" w:hAnsi="Times New Roman" w:cs="Times New Roman"/>
                <w:bCs/>
                <w:color w:val="auto"/>
                <w:szCs w:val="21"/>
                <w:highlight w:val="none"/>
              </w:rPr>
              <w:t>）</w:t>
            </w:r>
          </w:p>
        </w:tc>
        <w:tc>
          <w:tcPr>
            <w:tcW w:w="3260" w:type="dxa"/>
            <w:gridSpan w:val="2"/>
            <w:noWrap w:val="0"/>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过渡季典型工况下主要功能房间平均自然通风换气次数不小于2次/h的面积</w:t>
            </w:r>
            <w:r>
              <w:rPr>
                <w:rFonts w:hint="default" w:ascii="Times New Roman" w:hAnsi="Times New Roman" w:cs="Times New Roman"/>
                <w:bCs/>
                <w:color w:val="auto"/>
                <w:szCs w:val="21"/>
                <w:highlight w:val="none"/>
              </w:rPr>
              <w:t>（m</w:t>
            </w:r>
            <w:r>
              <w:rPr>
                <w:rFonts w:hint="default" w:ascii="Times New Roman" w:hAnsi="Times New Roman" w:cs="Times New Roman"/>
                <w:bCs/>
                <w:color w:val="auto"/>
                <w:szCs w:val="21"/>
                <w:highlight w:val="none"/>
                <w:vertAlign w:val="superscript"/>
              </w:rPr>
              <w:t>2</w:t>
            </w:r>
            <w:r>
              <w:rPr>
                <w:rFonts w:hint="default" w:ascii="Times New Roman" w:hAnsi="Times New Roman" w:cs="Times New Roman"/>
                <w:bCs/>
                <w:color w:val="auto"/>
                <w:szCs w:val="21"/>
                <w:highlight w:val="none"/>
              </w:rPr>
              <w:t>）</w:t>
            </w:r>
          </w:p>
        </w:tc>
        <w:tc>
          <w:tcPr>
            <w:tcW w:w="1561" w:type="dxa"/>
            <w:noWrap w:val="0"/>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通风达标比例（%）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 w:hRule="atLeast"/>
        </w:trPr>
        <w:tc>
          <w:tcPr>
            <w:tcW w:w="1135" w:type="dxa"/>
            <w:noWrap/>
            <w:vAlign w:val="center"/>
          </w:tcPr>
          <w:p>
            <w:pPr>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eastAsia="zh-CN"/>
              </w:rPr>
              <w:t>综合教学楼</w:t>
            </w:r>
          </w:p>
        </w:tc>
        <w:tc>
          <w:tcPr>
            <w:tcW w:w="2551" w:type="dxa"/>
            <w:gridSpan w:val="2"/>
            <w:noWrap w:val="0"/>
            <w:vAlign w:val="center"/>
          </w:tcPr>
          <w:p>
            <w:pPr>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val="en-US" w:eastAsia="zh-CN"/>
              </w:rPr>
              <w:t>1328.72</w:t>
            </w:r>
          </w:p>
        </w:tc>
        <w:tc>
          <w:tcPr>
            <w:tcW w:w="3260" w:type="dxa"/>
            <w:gridSpan w:val="2"/>
            <w:noWrap w:val="0"/>
            <w:vAlign w:val="center"/>
          </w:tcPr>
          <w:p>
            <w:pPr>
              <w:jc w:val="center"/>
              <w:rPr>
                <w:rFonts w:hint="default" w:ascii="Times New Roman" w:hAnsi="Times New Roman" w:eastAsia="宋体" w:cs="Times New Roman"/>
                <w:color w:val="auto"/>
                <w:szCs w:val="21"/>
                <w:highlight w:val="none"/>
                <w:lang w:eastAsia="zh-CN"/>
              </w:rPr>
            </w:pPr>
            <w:bookmarkStart w:id="71" w:name="面积分子"/>
            <w:r>
              <w:rPr>
                <w:rFonts w:hint="default" w:ascii="Times New Roman" w:hAnsi="Times New Roman" w:eastAsia="宋体" w:cs="Times New Roman"/>
                <w:color w:val="auto"/>
                <w:szCs w:val="21"/>
                <w:highlight w:val="none"/>
                <w:lang w:val="en-US" w:eastAsia="zh-CN"/>
              </w:rPr>
              <w:t>1328.72</w:t>
            </w:r>
            <w:bookmarkEnd w:id="71"/>
          </w:p>
        </w:tc>
        <w:tc>
          <w:tcPr>
            <w:tcW w:w="1561" w:type="dxa"/>
            <w:noWrap w:val="0"/>
            <w:vAlign w:val="center"/>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6"/>
            <w:noWrap/>
            <w:vAlign w:val="center"/>
          </w:tcPr>
          <w:p>
            <w:pP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注：1）详见公共建筑室内自然通风模拟分析报告。</w:t>
            </w:r>
          </w:p>
          <w:p>
            <w:pP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2）二星级要求：公共建筑通风达标比例</w:t>
            </w:r>
            <w:r>
              <w:rPr>
                <w:rFonts w:hint="default" w:ascii="Times New Roman" w:hAnsi="Times New Roman" w:cs="Times New Roman"/>
                <w:bCs/>
                <w:color w:val="auto"/>
                <w:szCs w:val="21"/>
                <w:highlight w:val="none"/>
              </w:rPr>
              <w:t>不应小于70%</w:t>
            </w: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6"/>
            <w:shd w:val="clear" w:color="auto" w:fill="9FD3A4"/>
            <w:noWrap/>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自然通风（公共建筑）2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 w:hRule="atLeast"/>
        </w:trPr>
        <w:tc>
          <w:tcPr>
            <w:tcW w:w="2084"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分析区域</w:t>
            </w:r>
          </w:p>
        </w:tc>
        <w:tc>
          <w:tcPr>
            <w:tcW w:w="2529" w:type="dxa"/>
            <w:gridSpan w:val="2"/>
            <w:noWrap w:val="0"/>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可开启面积</w:t>
            </w:r>
          </w:p>
          <w:p>
            <w:pPr>
              <w:jc w:val="center"/>
              <w:rPr>
                <w:rFonts w:hint="default" w:ascii="Times New Roman" w:hAnsi="Times New Roman" w:cs="Times New Roman"/>
                <w:color w:val="auto"/>
                <w:szCs w:val="21"/>
                <w:highlight w:val="none"/>
              </w:rPr>
            </w:pPr>
            <w:r>
              <w:rPr>
                <w:rFonts w:hint="default" w:ascii="Times New Roman" w:hAnsi="Times New Roman" w:cs="Times New Roman"/>
                <w:bCs/>
                <w:color w:val="auto"/>
                <w:szCs w:val="21"/>
                <w:highlight w:val="none"/>
              </w:rPr>
              <w:t>（m</w:t>
            </w:r>
            <w:r>
              <w:rPr>
                <w:rFonts w:hint="default" w:ascii="Times New Roman" w:hAnsi="Times New Roman" w:cs="Times New Roman"/>
                <w:bCs/>
                <w:color w:val="auto"/>
                <w:szCs w:val="21"/>
                <w:highlight w:val="none"/>
                <w:vertAlign w:val="superscript"/>
              </w:rPr>
              <w:t>2</w:t>
            </w:r>
            <w:r>
              <w:rPr>
                <w:rFonts w:hint="default" w:ascii="Times New Roman" w:hAnsi="Times New Roman" w:cs="Times New Roman"/>
                <w:bCs/>
                <w:color w:val="auto"/>
                <w:szCs w:val="21"/>
                <w:highlight w:val="none"/>
              </w:rPr>
              <w:t>）</w:t>
            </w:r>
          </w:p>
        </w:tc>
        <w:tc>
          <w:tcPr>
            <w:tcW w:w="2333" w:type="dxa"/>
            <w:noWrap w:val="0"/>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bCs/>
                <w:color w:val="auto"/>
                <w:szCs w:val="21"/>
                <w:highlight w:val="none"/>
              </w:rPr>
              <w:t>外窗或透光幕墙面积（m</w:t>
            </w:r>
            <w:r>
              <w:rPr>
                <w:rFonts w:hint="default" w:ascii="Times New Roman" w:hAnsi="Times New Roman" w:cs="Times New Roman"/>
                <w:bCs/>
                <w:color w:val="auto"/>
                <w:szCs w:val="21"/>
                <w:highlight w:val="none"/>
                <w:vertAlign w:val="superscript"/>
              </w:rPr>
              <w:t>2</w:t>
            </w:r>
            <w:r>
              <w:rPr>
                <w:rFonts w:hint="default" w:ascii="Times New Roman" w:hAnsi="Times New Roman" w:cs="Times New Roman"/>
                <w:bCs/>
                <w:color w:val="auto"/>
                <w:szCs w:val="21"/>
                <w:highlight w:val="none"/>
              </w:rPr>
              <w:t>）</w:t>
            </w:r>
          </w:p>
        </w:tc>
        <w:tc>
          <w:tcPr>
            <w:tcW w:w="1561" w:type="dxa"/>
            <w:noWrap w:val="0"/>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开启面积比例（%）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 w:hRule="atLeast"/>
        </w:trPr>
        <w:tc>
          <w:tcPr>
            <w:tcW w:w="2084"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外窗（18层以下）</w:t>
            </w:r>
          </w:p>
        </w:tc>
        <w:tc>
          <w:tcPr>
            <w:tcW w:w="2529" w:type="dxa"/>
            <w:gridSpan w:val="2"/>
            <w:noWrap w:val="0"/>
            <w:vAlign w:val="center"/>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w:t>
            </w:r>
          </w:p>
        </w:tc>
        <w:tc>
          <w:tcPr>
            <w:tcW w:w="2333" w:type="dxa"/>
            <w:noWrap w:val="0"/>
            <w:vAlign w:val="center"/>
          </w:tcPr>
          <w:p>
            <w:pPr>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w:t>
            </w:r>
          </w:p>
        </w:tc>
        <w:tc>
          <w:tcPr>
            <w:tcW w:w="1561" w:type="dxa"/>
            <w:noWrap w:val="0"/>
            <w:vAlign w:val="center"/>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 w:hRule="atLeast"/>
        </w:trPr>
        <w:tc>
          <w:tcPr>
            <w:tcW w:w="2084"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幕墙</w:t>
            </w:r>
          </w:p>
        </w:tc>
        <w:tc>
          <w:tcPr>
            <w:tcW w:w="2529" w:type="dxa"/>
            <w:gridSpan w:val="2"/>
            <w:noWrap w:val="0"/>
            <w:vAlign w:val="center"/>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w:t>
            </w:r>
          </w:p>
        </w:tc>
        <w:tc>
          <w:tcPr>
            <w:tcW w:w="2333" w:type="dxa"/>
            <w:noWrap w:val="0"/>
            <w:vAlign w:val="center"/>
          </w:tcPr>
          <w:p>
            <w:pPr>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w:t>
            </w:r>
          </w:p>
        </w:tc>
        <w:tc>
          <w:tcPr>
            <w:tcW w:w="1561" w:type="dxa"/>
            <w:noWrap w:val="0"/>
            <w:vAlign w:val="center"/>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6"/>
            <w:noWrap/>
            <w:vAlign w:val="center"/>
          </w:tcPr>
          <w:p>
            <w:pP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注：1）二星级要求：透光幕墙可开启面积比例不应小于透光幕墙面积的5%。</w:t>
            </w:r>
          </w:p>
          <w:p>
            <w:pP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2）三星级要求：公共建筑外窗设计应综合考虑自然通风和天然采光的要求，18层以下可开启面积不应小于外窗面积的35%；透光幕墙可开启面积比例不应小于透光幕墙面积的10%。</w:t>
            </w:r>
          </w:p>
        </w:tc>
      </w:tr>
    </w:tbl>
    <w:p>
      <w:pPr>
        <w:spacing w:line="360" w:lineRule="auto"/>
        <w:ind w:firstLine="420"/>
        <w:rPr>
          <w:rFonts w:hint="default" w:ascii="Times New Roman" w:hAnsi="Times New Roman" w:cs="Times New Roman"/>
          <w:color w:val="auto"/>
          <w:sz w:val="24"/>
          <w:szCs w:val="24"/>
          <w:highlight w:val="none"/>
        </w:rPr>
      </w:pPr>
    </w:p>
    <w:p>
      <w:pPr>
        <w:pStyle w:val="3"/>
        <w:numPr>
          <w:ilvl w:val="0"/>
          <w:numId w:val="8"/>
        </w:numPr>
        <w:spacing w:after="156"/>
        <w:rPr>
          <w:rFonts w:hint="default" w:ascii="Times New Roman" w:hAnsi="Times New Roman" w:cs="Times New Roman"/>
          <w:color w:val="auto"/>
          <w:highlight w:val="none"/>
        </w:rPr>
      </w:pPr>
      <w:r>
        <w:rPr>
          <w:rFonts w:hint="default" w:ascii="Times New Roman" w:hAnsi="Times New Roman" w:cs="Times New Roman"/>
          <w:color w:val="auto"/>
          <w:highlight w:val="none"/>
        </w:rPr>
        <w:t>建筑声环境</w:t>
      </w:r>
      <w:bookmarkEnd w:id="69"/>
      <w:bookmarkEnd w:id="70"/>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降噪措施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vAlign w:val="center"/>
          </w:tcPr>
          <w:p>
            <w:pPr>
              <w:spacing w:line="360" w:lineRule="auto"/>
              <w:jc w:val="left"/>
              <w:rPr>
                <w:rFonts w:hint="default" w:ascii="Times New Roman" w:hAnsi="Times New Roman" w:cs="Times New Roman"/>
                <w:color w:val="auto"/>
                <w:kern w:val="0"/>
                <w:szCs w:val="21"/>
                <w:highlight w:val="none"/>
              </w:rPr>
            </w:pPr>
            <w:bookmarkStart w:id="72" w:name="_Hlk121828910"/>
            <w:r>
              <w:rPr>
                <w:rFonts w:hint="default" w:ascii="Times New Roman" w:hAnsi="Times New Roman" w:cs="Times New Roman"/>
                <w:color w:val="auto"/>
                <w:szCs w:val="21"/>
                <w:highlight w:val="none"/>
              </w:rPr>
              <w:t>选用低噪声设备</w:t>
            </w:r>
            <w:bookmarkEnd w:id="72"/>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c>
          <w:tcPr>
            <w:tcW w:w="1173" w:type="dxa"/>
            <w:vMerge w:val="restart"/>
            <w:vAlign w:val="center"/>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rPr>
              <w:t>电通施</w:t>
            </w:r>
            <w:r>
              <w:rPr>
                <w:rFonts w:hint="default" w:ascii="Times New Roman" w:hAnsi="Times New Roman" w:cs="Times New Roman"/>
                <w:color w:val="auto"/>
                <w:szCs w:val="21"/>
                <w:highlight w:val="none"/>
                <w:lang w:val="en-US" w:eastAsia="zh-CN"/>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vAlign w:val="center"/>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设备、管道等噪声源采用减振降噪措施</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c>
          <w:tcPr>
            <w:tcW w:w="1173"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vAlign w:val="center"/>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建筑采用轻型屋盖时，屋面采用铺设阻尼材料、设置吊顶等措施防止雨噪声</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bl>
    <w:p>
      <w:pPr>
        <w:spacing w:line="360" w:lineRule="auto"/>
        <w:ind w:firstLine="420"/>
        <w:rPr>
          <w:rFonts w:hint="default" w:ascii="Times New Roman" w:hAnsi="Times New Roman" w:cs="Times New Roman"/>
          <w:color w:val="auto"/>
          <w:sz w:val="24"/>
          <w:szCs w:val="24"/>
          <w:highlight w:val="none"/>
        </w:rPr>
      </w:pPr>
    </w:p>
    <w:p>
      <w:pPr>
        <w:spacing w:line="360" w:lineRule="auto"/>
        <w:ind w:firstLine="42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主要功能房间室内噪声级满足《民用建筑隔声设计规范》GB50118：□低限标准</w:t>
      </w:r>
      <w:r>
        <w:rPr>
          <w:rFonts w:hint="default" w:ascii="Times New Roman" w:hAnsi="Times New Roman" w:cs="Times New Roman"/>
          <w:color w:val="auto"/>
          <w:sz w:val="24"/>
          <w:szCs w:val="24"/>
          <w:highlight w:val="none"/>
          <w:lang w:val="en-US" w:eastAsia="zh-CN"/>
        </w:rPr>
        <w:t xml:space="preserve"> </w:t>
      </w:r>
      <w:r>
        <w:rPr>
          <w:rFonts w:hint="default" w:ascii="Times New Roman" w:hAnsi="Times New Roman" w:cs="Times New Roman"/>
          <w:color w:val="auto"/>
          <w:sz w:val="24"/>
          <w:szCs w:val="24"/>
          <w:highlight w:val="none"/>
          <w:lang w:eastAsia="zh-CN"/>
        </w:rPr>
        <w:t>□</w:t>
      </w:r>
      <w:r>
        <w:rPr>
          <w:rFonts w:hint="default" w:ascii="Times New Roman" w:hAnsi="Times New Roman" w:cs="Times New Roman"/>
          <w:color w:val="auto"/>
          <w:sz w:val="24"/>
          <w:szCs w:val="24"/>
          <w:highlight w:val="none"/>
        </w:rPr>
        <w:t>高、低限的平均值</w:t>
      </w:r>
      <w:r>
        <w:rPr>
          <w:rFonts w:hint="default" w:ascii="Times New Roman" w:hAnsi="Times New Roman" w:cs="Times New Roman"/>
          <w:color w:val="auto"/>
          <w:sz w:val="24"/>
          <w:szCs w:val="24"/>
          <w:highlight w:val="none"/>
          <w:lang w:val="en-US" w:eastAsia="zh-CN"/>
        </w:rPr>
        <w:t xml:space="preserve"> </w:t>
      </w:r>
      <w:r>
        <w:rPr>
          <w:rFonts w:hint="default" w:ascii="Times New Roman" w:hAnsi="Times New Roman" w:cs="Times New Roman"/>
          <w:color w:val="auto"/>
          <w:sz w:val="24"/>
          <w:szCs w:val="24"/>
          <w:highlight w:val="none"/>
        </w:rPr>
        <w:t>■高要求标准</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6"/>
        <w:gridCol w:w="2629"/>
        <w:gridCol w:w="851"/>
        <w:gridCol w:w="1302"/>
        <w:gridCol w:w="919"/>
        <w:gridCol w:w="875"/>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8522" w:type="dxa"/>
            <w:gridSpan w:val="7"/>
            <w:shd w:val="clear" w:color="auto" w:fill="9FD3A4"/>
            <w:noWrap/>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主要功能房间室内噪声级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restart"/>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建筑类型</w:t>
            </w:r>
          </w:p>
        </w:tc>
        <w:tc>
          <w:tcPr>
            <w:tcW w:w="3480" w:type="dxa"/>
            <w:gridSpan w:val="2"/>
            <w:vMerge w:val="restart"/>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主要功能房间名称</w:t>
            </w:r>
          </w:p>
        </w:tc>
        <w:tc>
          <w:tcPr>
            <w:tcW w:w="1302" w:type="dxa"/>
            <w:vMerge w:val="restart"/>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室内噪声级（dB(A)）</w:t>
            </w:r>
          </w:p>
        </w:tc>
        <w:tc>
          <w:tcPr>
            <w:tcW w:w="2974" w:type="dxa"/>
            <w:gridSpan w:val="3"/>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允许噪声级（A声级，dB）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vMerge w:val="continue"/>
            <w:noWrap/>
            <w:vAlign w:val="center"/>
          </w:tcPr>
          <w:p>
            <w:pPr>
              <w:jc w:val="center"/>
              <w:rPr>
                <w:rFonts w:hint="default" w:ascii="Times New Roman" w:hAnsi="Times New Roman" w:cs="Times New Roman"/>
                <w:color w:val="auto"/>
                <w:szCs w:val="21"/>
                <w:highlight w:val="none"/>
              </w:rPr>
            </w:pPr>
          </w:p>
        </w:tc>
        <w:tc>
          <w:tcPr>
            <w:tcW w:w="1302" w:type="dxa"/>
            <w:vMerge w:val="continue"/>
            <w:vAlign w:val="center"/>
          </w:tcPr>
          <w:p>
            <w:pPr>
              <w:jc w:val="center"/>
              <w:rPr>
                <w:rFonts w:hint="default" w:ascii="Times New Roman" w:hAnsi="Times New Roman" w:cs="Times New Roman"/>
                <w:color w:val="auto"/>
                <w:szCs w:val="21"/>
                <w:highlight w:val="none"/>
              </w:rPr>
            </w:pPr>
          </w:p>
        </w:tc>
        <w:tc>
          <w:tcPr>
            <w:tcW w:w="919" w:type="dxa"/>
            <w:noWrap/>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低限标准</w:t>
            </w:r>
          </w:p>
        </w:tc>
        <w:tc>
          <w:tcPr>
            <w:tcW w:w="875" w:type="dxa"/>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高要求标准</w:t>
            </w:r>
          </w:p>
        </w:tc>
        <w:tc>
          <w:tcPr>
            <w:tcW w:w="1180" w:type="dxa"/>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高、低限的平均值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restart"/>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学校建筑</w:t>
            </w: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语音教室、阅览室</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普通教室、实验室、计算机房</w:t>
            </w:r>
          </w:p>
        </w:tc>
        <w:tc>
          <w:tcPr>
            <w:tcW w:w="1302" w:type="dxa"/>
          </w:tcPr>
          <w:p>
            <w:pPr>
              <w:jc w:val="center"/>
              <w:rPr>
                <w:rFonts w:hint="default" w:ascii="Times New Roman" w:hAnsi="Times New Roman"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38/36</w:t>
            </w:r>
          </w:p>
        </w:tc>
        <w:tc>
          <w:tcPr>
            <w:tcW w:w="919" w:type="dxa"/>
            <w:noWrap/>
            <w:vAlign w:val="to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45</w:t>
            </w:r>
          </w:p>
        </w:tc>
        <w:tc>
          <w:tcPr>
            <w:tcW w:w="875" w:type="dxa"/>
            <w:vAlign w:val="to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40</w:t>
            </w:r>
          </w:p>
        </w:tc>
        <w:tc>
          <w:tcPr>
            <w:tcW w:w="1180" w:type="dxa"/>
            <w:vAlign w:val="to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42.5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舞蹈教室</w:t>
            </w:r>
          </w:p>
        </w:tc>
        <w:tc>
          <w:tcPr>
            <w:tcW w:w="1302" w:type="dxa"/>
          </w:tcPr>
          <w:p>
            <w:pPr>
              <w:jc w:val="center"/>
              <w:rPr>
                <w:rFonts w:hint="default" w:ascii="Times New Roman" w:hAnsi="Times New Roman"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w:t>
            </w:r>
          </w:p>
        </w:tc>
        <w:tc>
          <w:tcPr>
            <w:tcW w:w="919" w:type="dxa"/>
            <w:noWrap/>
            <w:vAlign w:val="top"/>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rPr>
              <w:t>/</w:t>
            </w:r>
          </w:p>
        </w:tc>
        <w:tc>
          <w:tcPr>
            <w:tcW w:w="875" w:type="dxa"/>
            <w:vAlign w:val="top"/>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教师办公室、休息室、会议室</w:t>
            </w:r>
          </w:p>
        </w:tc>
        <w:tc>
          <w:tcPr>
            <w:tcW w:w="1302" w:type="dxa"/>
          </w:tcPr>
          <w:p>
            <w:pPr>
              <w:jc w:val="center"/>
              <w:rPr>
                <w:rFonts w:hint="default" w:ascii="Times New Roman" w:hAnsi="Times New Roman"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34</w:t>
            </w:r>
          </w:p>
        </w:tc>
        <w:tc>
          <w:tcPr>
            <w:tcW w:w="919" w:type="dxa"/>
            <w:noWrap/>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45</w:t>
            </w:r>
          </w:p>
        </w:tc>
        <w:tc>
          <w:tcPr>
            <w:tcW w:w="875" w:type="dxa"/>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40</w:t>
            </w:r>
          </w:p>
        </w:tc>
        <w:tc>
          <w:tcPr>
            <w:tcW w:w="1180" w:type="dxa"/>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42.5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restart"/>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医院建筑</w:t>
            </w:r>
          </w:p>
        </w:tc>
        <w:tc>
          <w:tcPr>
            <w:tcW w:w="2629" w:type="dxa"/>
            <w:vMerge w:val="restart"/>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病房、医护人员休息室、各类重症监护室</w:t>
            </w:r>
          </w:p>
        </w:tc>
        <w:tc>
          <w:tcPr>
            <w:tcW w:w="851"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（昼）</w:t>
            </w:r>
          </w:p>
        </w:tc>
        <w:tc>
          <w:tcPr>
            <w:tcW w:w="1302"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2629" w:type="dxa"/>
            <w:vMerge w:val="continue"/>
            <w:noWrap/>
            <w:vAlign w:val="center"/>
          </w:tcPr>
          <w:p>
            <w:pPr>
              <w:jc w:val="center"/>
              <w:rPr>
                <w:rFonts w:hint="default" w:ascii="Times New Roman" w:hAnsi="Times New Roman" w:cs="Times New Roman"/>
                <w:color w:val="auto"/>
                <w:szCs w:val="21"/>
                <w:highlight w:val="none"/>
              </w:rPr>
            </w:pPr>
          </w:p>
        </w:tc>
        <w:tc>
          <w:tcPr>
            <w:tcW w:w="851"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（夜）</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诊室、手术室、分娩室</w:t>
            </w:r>
          </w:p>
        </w:tc>
        <w:tc>
          <w:tcPr>
            <w:tcW w:w="1302"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洁净手术室</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人工生殖中心净化区</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化验室、分析实验室</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入口大厅、候诊厅</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766" w:type="dxa"/>
            <w:vMerge w:val="restart"/>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旅馆建筑</w:t>
            </w:r>
          </w:p>
        </w:tc>
        <w:tc>
          <w:tcPr>
            <w:tcW w:w="2629" w:type="dxa"/>
            <w:vMerge w:val="restart"/>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客房</w:t>
            </w:r>
          </w:p>
        </w:tc>
        <w:tc>
          <w:tcPr>
            <w:tcW w:w="851"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（昼）</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b/>
                <w:bCs/>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b/>
                <w:bCs/>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2629" w:type="dxa"/>
            <w:vMerge w:val="continue"/>
            <w:noWrap/>
            <w:vAlign w:val="center"/>
          </w:tcPr>
          <w:p>
            <w:pPr>
              <w:jc w:val="center"/>
              <w:rPr>
                <w:rFonts w:hint="default" w:ascii="Times New Roman" w:hAnsi="Times New Roman" w:cs="Times New Roman"/>
                <w:color w:val="auto"/>
                <w:szCs w:val="21"/>
                <w:highlight w:val="none"/>
              </w:rPr>
            </w:pPr>
          </w:p>
        </w:tc>
        <w:tc>
          <w:tcPr>
            <w:tcW w:w="851"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（夜）</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b/>
                <w:bCs/>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b/>
                <w:bCs/>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办公室、会议室</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多用途厅</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餐厅、宴会厅</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restart"/>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办公建筑</w:t>
            </w: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单人办公室</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多人办公室</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电视电话会议室</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普通会议室</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restart"/>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办公建筑</w:t>
            </w: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单人办公室</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多人办公室</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电视电话会议室</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普通会议室</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restart"/>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宿舍建筑</w:t>
            </w: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highlight w:val="none"/>
              </w:rPr>
              <w:t>起居室</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highlight w:val="none"/>
              </w:rPr>
              <w:t>卧室</w:t>
            </w:r>
          </w:p>
        </w:tc>
        <w:tc>
          <w:tcPr>
            <w:tcW w:w="1302" w:type="dxa"/>
            <w:vAlign w:val="to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vAlign w:val="to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vAlign w:val="to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vAlign w:val="to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restart"/>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商业建筑</w:t>
            </w: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商场、商店、购物中心、会展中心</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餐厅</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766" w:type="dxa"/>
            <w:vMerge w:val="continue"/>
            <w:noWrap/>
            <w:vAlign w:val="center"/>
          </w:tcPr>
          <w:p>
            <w:pPr>
              <w:jc w:val="center"/>
              <w:rPr>
                <w:rFonts w:hint="default" w:ascii="Times New Roman" w:hAnsi="Times New Roman" w:cs="Times New Roman"/>
                <w:color w:val="auto"/>
                <w:szCs w:val="21"/>
                <w:highlight w:val="none"/>
              </w:rPr>
            </w:pPr>
          </w:p>
        </w:tc>
        <w:tc>
          <w:tcPr>
            <w:tcW w:w="3480"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员工休息室</w:t>
            </w:r>
          </w:p>
        </w:tc>
        <w:tc>
          <w:tcPr>
            <w:tcW w:w="1302"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19" w:type="dxa"/>
            <w:noWrap/>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5"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80"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8522" w:type="dxa"/>
            <w:gridSpan w:val="7"/>
            <w:noWrap/>
            <w:vAlign w:val="center"/>
          </w:tcPr>
          <w:p>
            <w:pPr>
              <w:rPr>
                <w:rFonts w:hint="default" w:ascii="Times New Roman" w:hAnsi="Times New Roman" w:cs="Times New Roman"/>
                <w:color w:val="auto"/>
                <w:szCs w:val="21"/>
                <w:highlight w:val="none"/>
              </w:rPr>
            </w:pPr>
            <w:r>
              <w:rPr>
                <w:rFonts w:hint="default" w:ascii="Times New Roman" w:hAnsi="Times New Roman" w:cs="Times New Roman"/>
                <w:bCs/>
                <w:color w:val="auto"/>
                <w:szCs w:val="21"/>
                <w:highlight w:val="none"/>
              </w:rPr>
              <w:t>注：1）</w:t>
            </w:r>
            <w:r>
              <w:rPr>
                <w:rFonts w:hint="default" w:ascii="Times New Roman" w:hAnsi="Times New Roman" w:cs="Times New Roman"/>
                <w:color w:val="auto"/>
                <w:szCs w:val="21"/>
                <w:highlight w:val="none"/>
              </w:rPr>
              <w:t>室内噪声级应满足现行国家标准《民用建筑隔声设计规范》GB50118中的低限要求。</w:t>
            </w:r>
          </w:p>
          <w:p>
            <w:pPr>
              <w:ind w:firstLine="420" w:firstLineChars="200"/>
              <w:rPr>
                <w:rFonts w:hint="default"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2）二星级要求：室内噪声级应满足高、低限的平均值；三星级要求：应满足高要求标准。</w:t>
            </w:r>
          </w:p>
          <w:p>
            <w:pPr>
              <w:ind w:firstLine="420" w:firstLineChars="200"/>
              <w:rPr>
                <w:rFonts w:hint="default"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3）高、低限的平均值计算时，四舍五入取整数；只有唯一要求的，在低限标准的基础上降低5dB(A)作为高要求标准；在高要求标准中标注“-”，只要求达到低限要求。</w:t>
            </w:r>
          </w:p>
          <w:p>
            <w:pPr>
              <w:ind w:firstLine="420" w:firstLineChars="200"/>
              <w:rPr>
                <w:rFonts w:hint="default" w:ascii="Times New Roman" w:hAnsi="Times New Roman" w:cs="Times New Roman"/>
                <w:color w:val="auto"/>
                <w:szCs w:val="21"/>
                <w:highlight w:val="none"/>
              </w:rPr>
            </w:pPr>
            <w:r>
              <w:rPr>
                <w:rFonts w:hint="default" w:ascii="Times New Roman" w:hAnsi="Times New Roman" w:cs="Times New Roman"/>
                <w:bCs/>
                <w:color w:val="auto"/>
                <w:szCs w:val="21"/>
                <w:highlight w:val="none"/>
              </w:rPr>
              <w:t>4）详见声环境模拟报告。</w:t>
            </w:r>
          </w:p>
        </w:tc>
      </w:tr>
    </w:tbl>
    <w:p>
      <w:pPr>
        <w:spacing w:line="360" w:lineRule="auto"/>
        <w:ind w:firstLine="420"/>
        <w:rPr>
          <w:rFonts w:hint="default" w:ascii="Times New Roman" w:hAnsi="Times New Roman" w:cs="Times New Roman"/>
          <w:color w:val="auto"/>
          <w:sz w:val="24"/>
          <w:szCs w:val="24"/>
          <w:highlight w:val="none"/>
        </w:rPr>
      </w:pPr>
    </w:p>
    <w:p>
      <w:pPr>
        <w:spacing w:line="360" w:lineRule="auto"/>
        <w:ind w:firstLine="42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主要功能房间围护结构的空气声隔声性能满足《民用建筑隔声设计规范》GB50118：■低限标准□高、低限的平均值□高要求标准</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07"/>
        <w:gridCol w:w="1622"/>
        <w:gridCol w:w="1354"/>
        <w:gridCol w:w="1371"/>
        <w:gridCol w:w="18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8507" w:type="dxa"/>
            <w:gridSpan w:val="5"/>
            <w:shd w:val="clear" w:color="auto" w:fill="9FD3A4"/>
            <w:noWrap/>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主要功能房间围护结构的空气声隔声性能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07" w:type="dxa"/>
            <w:vMerge w:val="restart"/>
            <w:noWrap/>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主要功能房间名称/</w:t>
            </w:r>
          </w:p>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构件名称</w:t>
            </w:r>
          </w:p>
        </w:tc>
        <w:tc>
          <w:tcPr>
            <w:tcW w:w="1622" w:type="dxa"/>
            <w:vMerge w:val="restart"/>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空气声隔声量（dB）</w:t>
            </w:r>
          </w:p>
        </w:tc>
        <w:tc>
          <w:tcPr>
            <w:tcW w:w="4578" w:type="dxa"/>
            <w:gridSpan w:val="3"/>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单值评价量+频谱修正量（dB）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07" w:type="dxa"/>
            <w:vMerge w:val="continue"/>
            <w:noWrap/>
            <w:vAlign w:val="center"/>
          </w:tcPr>
          <w:p>
            <w:pPr>
              <w:pStyle w:val="21"/>
              <w:spacing w:line="288" w:lineRule="auto"/>
              <w:jc w:val="center"/>
              <w:outlineLvl w:val="9"/>
              <w:rPr>
                <w:rFonts w:hint="default" w:ascii="Times New Roman" w:hAnsi="Times New Roman" w:cs="Times New Roman"/>
                <w:bCs/>
                <w:color w:val="auto"/>
                <w:sz w:val="21"/>
                <w:szCs w:val="21"/>
                <w:highlight w:val="none"/>
              </w:rPr>
            </w:pPr>
          </w:p>
        </w:tc>
        <w:tc>
          <w:tcPr>
            <w:tcW w:w="1622" w:type="dxa"/>
            <w:vMerge w:val="continue"/>
            <w:vAlign w:val="center"/>
          </w:tcPr>
          <w:p>
            <w:pPr>
              <w:pStyle w:val="21"/>
              <w:spacing w:line="288" w:lineRule="auto"/>
              <w:jc w:val="center"/>
              <w:outlineLvl w:val="9"/>
              <w:rPr>
                <w:rFonts w:hint="default" w:ascii="Times New Roman" w:hAnsi="Times New Roman" w:cs="Times New Roman"/>
                <w:b/>
                <w:bCs/>
                <w:color w:val="auto"/>
                <w:sz w:val="21"/>
                <w:szCs w:val="21"/>
                <w:highlight w:val="none"/>
              </w:rPr>
            </w:pPr>
          </w:p>
        </w:tc>
        <w:tc>
          <w:tcPr>
            <w:tcW w:w="1354"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低限标准</w:t>
            </w:r>
          </w:p>
        </w:tc>
        <w:tc>
          <w:tcPr>
            <w:tcW w:w="1371" w:type="dxa"/>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高要求标准</w:t>
            </w:r>
          </w:p>
        </w:tc>
        <w:tc>
          <w:tcPr>
            <w:tcW w:w="1853" w:type="dxa"/>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高、低限的平均值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07" w:type="dxa"/>
            <w:noWrap/>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教学用房外墙</w:t>
            </w:r>
          </w:p>
        </w:tc>
        <w:tc>
          <w:tcPr>
            <w:tcW w:w="1622" w:type="dxa"/>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46</w:t>
            </w:r>
          </w:p>
        </w:tc>
        <w:tc>
          <w:tcPr>
            <w:tcW w:w="1354"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45</w:t>
            </w:r>
          </w:p>
        </w:tc>
        <w:tc>
          <w:tcPr>
            <w:tcW w:w="1371"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50</w:t>
            </w:r>
          </w:p>
        </w:tc>
        <w:tc>
          <w:tcPr>
            <w:tcW w:w="1853"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47.5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07" w:type="dxa"/>
            <w:noWrap/>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普通教室间隔墙</w:t>
            </w:r>
          </w:p>
        </w:tc>
        <w:tc>
          <w:tcPr>
            <w:tcW w:w="1622" w:type="dxa"/>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48</w:t>
            </w:r>
          </w:p>
        </w:tc>
        <w:tc>
          <w:tcPr>
            <w:tcW w:w="1354"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45</w:t>
            </w:r>
          </w:p>
        </w:tc>
        <w:tc>
          <w:tcPr>
            <w:tcW w:w="1371"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50</w:t>
            </w:r>
          </w:p>
        </w:tc>
        <w:tc>
          <w:tcPr>
            <w:tcW w:w="1853"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47.5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07" w:type="dxa"/>
            <w:noWrap/>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普通教室间楼板</w:t>
            </w:r>
          </w:p>
        </w:tc>
        <w:tc>
          <w:tcPr>
            <w:tcW w:w="1622" w:type="dxa"/>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52</w:t>
            </w:r>
          </w:p>
        </w:tc>
        <w:tc>
          <w:tcPr>
            <w:tcW w:w="1354"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45</w:t>
            </w:r>
          </w:p>
        </w:tc>
        <w:tc>
          <w:tcPr>
            <w:tcW w:w="1371"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50</w:t>
            </w:r>
          </w:p>
        </w:tc>
        <w:tc>
          <w:tcPr>
            <w:tcW w:w="1853"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47.5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07" w:type="dxa"/>
            <w:noWrap/>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教学用房的门</w:t>
            </w:r>
          </w:p>
        </w:tc>
        <w:tc>
          <w:tcPr>
            <w:tcW w:w="1622" w:type="dxa"/>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33</w:t>
            </w:r>
          </w:p>
        </w:tc>
        <w:tc>
          <w:tcPr>
            <w:tcW w:w="1354" w:type="dxa"/>
            <w:noWrap/>
            <w:vAlign w:val="center"/>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20</w:t>
            </w:r>
          </w:p>
        </w:tc>
        <w:tc>
          <w:tcPr>
            <w:tcW w:w="1371" w:type="dxa"/>
            <w:vAlign w:val="center"/>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25</w:t>
            </w:r>
          </w:p>
        </w:tc>
        <w:tc>
          <w:tcPr>
            <w:tcW w:w="1853" w:type="dxa"/>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22.5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07" w:type="dxa"/>
            <w:noWrap/>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教学用房的其他外窗</w:t>
            </w:r>
          </w:p>
        </w:tc>
        <w:tc>
          <w:tcPr>
            <w:tcW w:w="1622" w:type="dxa"/>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29</w:t>
            </w:r>
          </w:p>
        </w:tc>
        <w:tc>
          <w:tcPr>
            <w:tcW w:w="1354"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25</w:t>
            </w:r>
          </w:p>
        </w:tc>
        <w:tc>
          <w:tcPr>
            <w:tcW w:w="1371"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30</w:t>
            </w:r>
          </w:p>
        </w:tc>
        <w:tc>
          <w:tcPr>
            <w:tcW w:w="1853"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27.5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07" w:type="dxa"/>
            <w:noWrap/>
            <w:vAlign w:val="center"/>
          </w:tcPr>
          <w:p>
            <w:pPr>
              <w:jc w:val="center"/>
              <w:rPr>
                <w:rFonts w:hint="default" w:ascii="Times New Roman" w:hAnsi="Times New Roman" w:cs="Times New Roman"/>
                <w:color w:val="auto"/>
                <w:szCs w:val="21"/>
                <w:highlight w:val="none"/>
              </w:rPr>
            </w:pPr>
          </w:p>
        </w:tc>
        <w:tc>
          <w:tcPr>
            <w:tcW w:w="1622" w:type="dxa"/>
            <w:vAlign w:val="center"/>
          </w:tcPr>
          <w:p>
            <w:pPr>
              <w:jc w:val="center"/>
              <w:rPr>
                <w:rFonts w:hint="default" w:ascii="Times New Roman" w:hAnsi="Times New Roman" w:cs="Times New Roman"/>
                <w:color w:val="auto"/>
                <w:szCs w:val="21"/>
                <w:highlight w:val="none"/>
              </w:rPr>
            </w:pPr>
          </w:p>
        </w:tc>
        <w:tc>
          <w:tcPr>
            <w:tcW w:w="1354" w:type="dxa"/>
            <w:noWrap/>
            <w:vAlign w:val="center"/>
          </w:tcPr>
          <w:p>
            <w:pPr>
              <w:jc w:val="center"/>
              <w:rPr>
                <w:rFonts w:hint="default" w:ascii="Times New Roman" w:hAnsi="Times New Roman" w:cs="Times New Roman"/>
                <w:color w:val="auto"/>
                <w:szCs w:val="21"/>
                <w:highlight w:val="none"/>
              </w:rPr>
            </w:pPr>
          </w:p>
        </w:tc>
        <w:tc>
          <w:tcPr>
            <w:tcW w:w="1371" w:type="dxa"/>
            <w:vAlign w:val="center"/>
          </w:tcPr>
          <w:p>
            <w:pPr>
              <w:jc w:val="center"/>
              <w:rPr>
                <w:rFonts w:hint="default" w:ascii="Times New Roman" w:hAnsi="Times New Roman" w:cs="Times New Roman"/>
                <w:color w:val="auto"/>
                <w:szCs w:val="21"/>
                <w:highlight w:val="none"/>
              </w:rPr>
            </w:pPr>
          </w:p>
        </w:tc>
        <w:tc>
          <w:tcPr>
            <w:tcW w:w="1853" w:type="dxa"/>
          </w:tcPr>
          <w:p>
            <w:pPr>
              <w:jc w:val="center"/>
              <w:rPr>
                <w:rFonts w:hint="default" w:ascii="Times New Roman" w:hAnsi="Times New Roman" w:cs="Times New Roman"/>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07" w:type="dxa"/>
            <w:noWrap/>
            <w:vAlign w:val="center"/>
          </w:tcPr>
          <w:p>
            <w:pPr>
              <w:jc w:val="center"/>
              <w:rPr>
                <w:rFonts w:hint="default" w:ascii="Times New Roman" w:hAnsi="Times New Roman" w:cs="Times New Roman"/>
                <w:color w:val="auto"/>
                <w:szCs w:val="21"/>
                <w:highlight w:val="none"/>
              </w:rPr>
            </w:pPr>
          </w:p>
        </w:tc>
        <w:tc>
          <w:tcPr>
            <w:tcW w:w="1622" w:type="dxa"/>
            <w:vAlign w:val="center"/>
          </w:tcPr>
          <w:p>
            <w:pPr>
              <w:jc w:val="center"/>
              <w:rPr>
                <w:rFonts w:hint="default" w:ascii="Times New Roman" w:hAnsi="Times New Roman" w:cs="Times New Roman"/>
                <w:color w:val="auto"/>
                <w:szCs w:val="21"/>
                <w:highlight w:val="none"/>
              </w:rPr>
            </w:pPr>
          </w:p>
        </w:tc>
        <w:tc>
          <w:tcPr>
            <w:tcW w:w="1354" w:type="dxa"/>
            <w:noWrap/>
            <w:vAlign w:val="center"/>
          </w:tcPr>
          <w:p>
            <w:pPr>
              <w:jc w:val="center"/>
              <w:rPr>
                <w:rFonts w:hint="default" w:ascii="Times New Roman" w:hAnsi="Times New Roman" w:cs="Times New Roman"/>
                <w:color w:val="auto"/>
                <w:szCs w:val="21"/>
                <w:highlight w:val="none"/>
              </w:rPr>
            </w:pPr>
          </w:p>
        </w:tc>
        <w:tc>
          <w:tcPr>
            <w:tcW w:w="1371" w:type="dxa"/>
            <w:vAlign w:val="center"/>
          </w:tcPr>
          <w:p>
            <w:pPr>
              <w:jc w:val="center"/>
              <w:rPr>
                <w:rFonts w:hint="default" w:ascii="Times New Roman" w:hAnsi="Times New Roman" w:cs="Times New Roman"/>
                <w:color w:val="auto"/>
                <w:szCs w:val="21"/>
                <w:highlight w:val="none"/>
              </w:rPr>
            </w:pPr>
          </w:p>
        </w:tc>
        <w:tc>
          <w:tcPr>
            <w:tcW w:w="1853" w:type="dxa"/>
            <w:vAlign w:val="center"/>
          </w:tcPr>
          <w:p>
            <w:pPr>
              <w:jc w:val="center"/>
              <w:rPr>
                <w:rFonts w:hint="default" w:ascii="Times New Roman" w:hAnsi="Times New Roman" w:cs="Times New Roman"/>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07" w:type="dxa"/>
            <w:noWrap/>
            <w:vAlign w:val="center"/>
          </w:tcPr>
          <w:p>
            <w:pPr>
              <w:jc w:val="center"/>
              <w:rPr>
                <w:rFonts w:hint="default" w:ascii="Times New Roman" w:hAnsi="Times New Roman" w:cs="Times New Roman"/>
                <w:color w:val="auto"/>
                <w:szCs w:val="21"/>
                <w:highlight w:val="none"/>
              </w:rPr>
            </w:pPr>
          </w:p>
        </w:tc>
        <w:tc>
          <w:tcPr>
            <w:tcW w:w="1622" w:type="dxa"/>
            <w:vAlign w:val="center"/>
          </w:tcPr>
          <w:p>
            <w:pPr>
              <w:jc w:val="center"/>
              <w:rPr>
                <w:rFonts w:hint="default" w:ascii="Times New Roman" w:hAnsi="Times New Roman" w:cs="Times New Roman"/>
                <w:color w:val="auto"/>
                <w:szCs w:val="21"/>
                <w:highlight w:val="none"/>
              </w:rPr>
            </w:pPr>
          </w:p>
        </w:tc>
        <w:tc>
          <w:tcPr>
            <w:tcW w:w="1354" w:type="dxa"/>
            <w:noWrap/>
            <w:vAlign w:val="center"/>
          </w:tcPr>
          <w:p>
            <w:pPr>
              <w:jc w:val="center"/>
              <w:rPr>
                <w:rFonts w:hint="default" w:ascii="Times New Roman" w:hAnsi="Times New Roman" w:cs="Times New Roman"/>
                <w:color w:val="auto"/>
                <w:szCs w:val="21"/>
                <w:highlight w:val="none"/>
              </w:rPr>
            </w:pPr>
          </w:p>
        </w:tc>
        <w:tc>
          <w:tcPr>
            <w:tcW w:w="1371" w:type="dxa"/>
            <w:vAlign w:val="center"/>
          </w:tcPr>
          <w:p>
            <w:pPr>
              <w:jc w:val="center"/>
              <w:rPr>
                <w:rFonts w:hint="default" w:ascii="Times New Roman" w:hAnsi="Times New Roman" w:cs="Times New Roman"/>
                <w:color w:val="auto"/>
                <w:szCs w:val="21"/>
                <w:highlight w:val="none"/>
              </w:rPr>
            </w:pPr>
          </w:p>
        </w:tc>
        <w:tc>
          <w:tcPr>
            <w:tcW w:w="1853" w:type="dxa"/>
            <w:vAlign w:val="center"/>
          </w:tcPr>
          <w:p>
            <w:pPr>
              <w:jc w:val="center"/>
              <w:rPr>
                <w:rFonts w:hint="default" w:ascii="Times New Roman" w:hAnsi="Times New Roman" w:cs="Times New Roman"/>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07" w:type="dxa"/>
            <w:noWrap/>
          </w:tcPr>
          <w:p>
            <w:pPr>
              <w:jc w:val="center"/>
              <w:rPr>
                <w:rFonts w:hint="default" w:ascii="Times New Roman" w:hAnsi="Times New Roman" w:cs="Times New Roman"/>
                <w:color w:val="auto"/>
                <w:szCs w:val="21"/>
                <w:highlight w:val="none"/>
              </w:rPr>
            </w:pPr>
          </w:p>
        </w:tc>
        <w:tc>
          <w:tcPr>
            <w:tcW w:w="1622" w:type="dxa"/>
          </w:tcPr>
          <w:p>
            <w:pPr>
              <w:jc w:val="center"/>
              <w:rPr>
                <w:rFonts w:hint="default" w:ascii="Times New Roman" w:hAnsi="Times New Roman" w:cs="Times New Roman"/>
                <w:color w:val="auto"/>
                <w:szCs w:val="21"/>
                <w:highlight w:val="none"/>
              </w:rPr>
            </w:pPr>
          </w:p>
        </w:tc>
        <w:tc>
          <w:tcPr>
            <w:tcW w:w="1354" w:type="dxa"/>
            <w:noWrap/>
            <w:vAlign w:val="center"/>
          </w:tcPr>
          <w:p>
            <w:pPr>
              <w:jc w:val="center"/>
              <w:rPr>
                <w:rFonts w:hint="default" w:ascii="Times New Roman" w:hAnsi="Times New Roman" w:cs="Times New Roman"/>
                <w:color w:val="auto"/>
                <w:szCs w:val="21"/>
                <w:highlight w:val="none"/>
              </w:rPr>
            </w:pPr>
          </w:p>
        </w:tc>
        <w:tc>
          <w:tcPr>
            <w:tcW w:w="1371" w:type="dxa"/>
            <w:vAlign w:val="center"/>
          </w:tcPr>
          <w:p>
            <w:pPr>
              <w:jc w:val="center"/>
              <w:rPr>
                <w:rFonts w:hint="default" w:ascii="Times New Roman" w:hAnsi="Times New Roman" w:cs="Times New Roman"/>
                <w:color w:val="auto"/>
                <w:szCs w:val="21"/>
                <w:highlight w:val="none"/>
              </w:rPr>
            </w:pPr>
          </w:p>
        </w:tc>
        <w:tc>
          <w:tcPr>
            <w:tcW w:w="1853" w:type="dxa"/>
            <w:vAlign w:val="center"/>
          </w:tcPr>
          <w:p>
            <w:pPr>
              <w:jc w:val="center"/>
              <w:rPr>
                <w:rFonts w:hint="default" w:ascii="Times New Roman" w:hAnsi="Times New Roman" w:cs="Times New Roman"/>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8507" w:type="dxa"/>
            <w:gridSpan w:val="5"/>
            <w:noWrap/>
            <w:vAlign w:val="center"/>
          </w:tcPr>
          <w:p>
            <w:pPr>
              <w:rPr>
                <w:rFonts w:hint="default"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注：1）</w:t>
            </w:r>
            <w:r>
              <w:rPr>
                <w:rFonts w:hint="default" w:ascii="Times New Roman" w:hAnsi="Times New Roman" w:cs="Times New Roman"/>
                <w:color w:val="auto"/>
                <w:szCs w:val="21"/>
                <w:highlight w:val="none"/>
              </w:rPr>
              <w:t>外墙、隔墙、楼板和门窗的隔声性能应满足现行国家标准《民用建筑隔声设计规范》GB50118中的低限要求。</w:t>
            </w:r>
          </w:p>
          <w:p>
            <w:pPr>
              <w:ind w:firstLine="420" w:firstLineChars="200"/>
              <w:rPr>
                <w:rFonts w:hint="default"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2）三星级要求：公共建筑</w:t>
            </w:r>
            <w:r>
              <w:rPr>
                <w:rFonts w:hint="default" w:ascii="Times New Roman" w:hAnsi="Times New Roman" w:cs="Times New Roman"/>
                <w:color w:val="auto"/>
                <w:szCs w:val="21"/>
                <w:highlight w:val="none"/>
              </w:rPr>
              <w:t>隔声性能</w:t>
            </w:r>
            <w:r>
              <w:rPr>
                <w:rFonts w:hint="default" w:ascii="Times New Roman" w:hAnsi="Times New Roman" w:cs="Times New Roman"/>
                <w:bCs/>
                <w:color w:val="auto"/>
                <w:szCs w:val="21"/>
                <w:highlight w:val="none"/>
              </w:rPr>
              <w:t>应满足高、低限的平均值。</w:t>
            </w:r>
          </w:p>
          <w:p>
            <w:pPr>
              <w:ind w:firstLine="420" w:firstLineChars="200"/>
              <w:rPr>
                <w:rFonts w:hint="default" w:ascii="Times New Roman" w:hAnsi="Times New Roman" w:cs="Times New Roman"/>
                <w:color w:val="auto"/>
                <w:szCs w:val="21"/>
                <w:highlight w:val="none"/>
              </w:rPr>
            </w:pPr>
            <w:r>
              <w:rPr>
                <w:rFonts w:hint="default" w:ascii="Times New Roman" w:hAnsi="Times New Roman" w:cs="Times New Roman"/>
                <w:bCs/>
                <w:color w:val="auto"/>
                <w:szCs w:val="21"/>
                <w:highlight w:val="none"/>
              </w:rPr>
              <w:t>3）详见建筑构件隔声设计报告。</w:t>
            </w:r>
          </w:p>
        </w:tc>
      </w:tr>
    </w:tbl>
    <w:p>
      <w:pPr>
        <w:spacing w:line="360" w:lineRule="auto"/>
        <w:ind w:firstLine="420"/>
        <w:rPr>
          <w:rFonts w:hint="default" w:ascii="Times New Roman" w:hAnsi="Times New Roman" w:cs="Times New Roman"/>
          <w:color w:val="auto"/>
          <w:sz w:val="24"/>
          <w:szCs w:val="24"/>
          <w:highlight w:val="none"/>
        </w:rPr>
      </w:pPr>
    </w:p>
    <w:p>
      <w:pPr>
        <w:spacing w:line="360" w:lineRule="auto"/>
        <w:ind w:firstLine="42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主要功能房间楼板的撞击声隔声性能满足《民用建筑隔声设计规范》GB50118：□低限标准■高、低限的平均值□高要求标准</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0"/>
        <w:gridCol w:w="1264"/>
        <w:gridCol w:w="1165"/>
        <w:gridCol w:w="1382"/>
        <w:gridCol w:w="1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8507" w:type="dxa"/>
            <w:gridSpan w:val="5"/>
            <w:shd w:val="clear" w:color="auto" w:fill="9FD3A4"/>
            <w:noWrap/>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主要功能房间楼板的撞击声隔声性能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860" w:type="dxa"/>
            <w:vMerge w:val="restart"/>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主要功能房间楼板部位</w:t>
            </w:r>
          </w:p>
        </w:tc>
        <w:tc>
          <w:tcPr>
            <w:tcW w:w="1264" w:type="dxa"/>
            <w:vMerge w:val="restart"/>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撞击声隔声量（dB）</w:t>
            </w:r>
          </w:p>
        </w:tc>
        <w:tc>
          <w:tcPr>
            <w:tcW w:w="4383" w:type="dxa"/>
            <w:gridSpan w:val="3"/>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单值评价量（dB）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860" w:type="dxa"/>
            <w:vMerge w:val="continue"/>
            <w:noWrap/>
            <w:vAlign w:val="center"/>
          </w:tcPr>
          <w:p>
            <w:pPr>
              <w:pStyle w:val="21"/>
              <w:spacing w:line="288" w:lineRule="auto"/>
              <w:jc w:val="center"/>
              <w:outlineLvl w:val="9"/>
              <w:rPr>
                <w:rFonts w:hint="default" w:ascii="Times New Roman" w:hAnsi="Times New Roman" w:cs="Times New Roman"/>
                <w:b/>
                <w:bCs/>
                <w:color w:val="auto"/>
                <w:sz w:val="21"/>
                <w:szCs w:val="21"/>
                <w:highlight w:val="none"/>
              </w:rPr>
            </w:pPr>
          </w:p>
        </w:tc>
        <w:tc>
          <w:tcPr>
            <w:tcW w:w="1264" w:type="dxa"/>
            <w:vMerge w:val="continue"/>
            <w:vAlign w:val="center"/>
          </w:tcPr>
          <w:p>
            <w:pPr>
              <w:pStyle w:val="21"/>
              <w:spacing w:line="288" w:lineRule="auto"/>
              <w:jc w:val="center"/>
              <w:outlineLvl w:val="9"/>
              <w:rPr>
                <w:rFonts w:hint="default" w:ascii="Times New Roman" w:hAnsi="Times New Roman" w:cs="Times New Roman"/>
                <w:b/>
                <w:bCs/>
                <w:color w:val="auto"/>
                <w:sz w:val="21"/>
                <w:szCs w:val="21"/>
                <w:highlight w:val="none"/>
              </w:rPr>
            </w:pPr>
          </w:p>
        </w:tc>
        <w:tc>
          <w:tcPr>
            <w:tcW w:w="1165"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低限标准</w:t>
            </w:r>
          </w:p>
        </w:tc>
        <w:tc>
          <w:tcPr>
            <w:tcW w:w="1382" w:type="dxa"/>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
                <w:szCs w:val="2"/>
                <w:highlight w:val="none"/>
              </w:rPr>
              <w:t>22B</w:t>
            </w:r>
            <w:r>
              <w:rPr>
                <w:rFonts w:hint="default" w:ascii="Times New Roman" w:hAnsi="Times New Roman" w:cs="Times New Roman"/>
                <w:bCs/>
                <w:color w:val="auto"/>
                <w:sz w:val="21"/>
                <w:szCs w:val="21"/>
                <w:highlight w:val="none"/>
              </w:rPr>
              <w:t>高要求标准</w:t>
            </w:r>
          </w:p>
        </w:tc>
        <w:tc>
          <w:tcPr>
            <w:tcW w:w="1836" w:type="dxa"/>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
                <w:szCs w:val="2"/>
                <w:highlight w:val="none"/>
              </w:rPr>
              <w:t>23B</w:t>
            </w:r>
            <w:r>
              <w:rPr>
                <w:rFonts w:hint="default" w:ascii="Times New Roman" w:hAnsi="Times New Roman" w:cs="Times New Roman"/>
                <w:bCs/>
                <w:color w:val="auto"/>
                <w:sz w:val="21"/>
                <w:szCs w:val="21"/>
                <w:highlight w:val="none"/>
              </w:rPr>
              <w:t>高、低限的平均值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860"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rPr>
              <w:t>普通教室之间楼板</w:t>
            </w:r>
          </w:p>
        </w:tc>
        <w:tc>
          <w:tcPr>
            <w:tcW w:w="1264" w:type="dxa"/>
            <w:vAlign w:val="center"/>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69</w:t>
            </w:r>
          </w:p>
        </w:tc>
        <w:tc>
          <w:tcPr>
            <w:tcW w:w="1165"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7</w:t>
            </w:r>
            <w:r>
              <w:rPr>
                <w:rFonts w:hint="default" w:ascii="Times New Roman" w:hAnsi="Times New Roman" w:cs="Times New Roman"/>
                <w:color w:val="auto"/>
                <w:szCs w:val="21"/>
                <w:highlight w:val="none"/>
              </w:rPr>
              <w:t>5</w:t>
            </w:r>
          </w:p>
        </w:tc>
        <w:tc>
          <w:tcPr>
            <w:tcW w:w="1382"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6</w:t>
            </w:r>
            <w:r>
              <w:rPr>
                <w:rFonts w:hint="default" w:ascii="Times New Roman" w:hAnsi="Times New Roman" w:cs="Times New Roman"/>
                <w:color w:val="auto"/>
                <w:szCs w:val="21"/>
                <w:highlight w:val="none"/>
              </w:rPr>
              <w:t>5</w:t>
            </w:r>
          </w:p>
        </w:tc>
        <w:tc>
          <w:tcPr>
            <w:tcW w:w="1836"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7</w:t>
            </w:r>
            <w:r>
              <w:rPr>
                <w:rFonts w:hint="default" w:ascii="Times New Roman" w:hAnsi="Times New Roman" w:cs="Times New Roman"/>
                <w:color w:val="auto"/>
                <w:szCs w:val="21"/>
                <w:highlight w:val="non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8507" w:type="dxa"/>
            <w:gridSpan w:val="5"/>
            <w:noWrap/>
            <w:vAlign w:val="center"/>
          </w:tcPr>
          <w:p>
            <w:pPr>
              <w:rPr>
                <w:rFonts w:hint="default"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注：1）楼板的撞击声</w:t>
            </w:r>
            <w:r>
              <w:rPr>
                <w:rFonts w:hint="default" w:ascii="Times New Roman" w:hAnsi="Times New Roman" w:cs="Times New Roman"/>
                <w:color w:val="auto"/>
                <w:szCs w:val="21"/>
                <w:highlight w:val="none"/>
              </w:rPr>
              <w:t>隔声性能应满足现行国家标准《民用建筑隔声设计规范》GB50118中的低限要求。</w:t>
            </w:r>
          </w:p>
          <w:p>
            <w:pPr>
              <w:ind w:firstLine="420" w:firstLineChars="200"/>
              <w:rPr>
                <w:rFonts w:hint="default"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2）二星级要求：住宅</w:t>
            </w:r>
            <w:r>
              <w:rPr>
                <w:rFonts w:hint="default" w:ascii="Times New Roman" w:hAnsi="Times New Roman" w:cs="Times New Roman"/>
                <w:color w:val="auto"/>
                <w:szCs w:val="21"/>
                <w:highlight w:val="none"/>
              </w:rPr>
              <w:t>隔声性能</w:t>
            </w:r>
            <w:r>
              <w:rPr>
                <w:rFonts w:hint="default" w:ascii="Times New Roman" w:hAnsi="Times New Roman" w:cs="Times New Roman"/>
                <w:bCs/>
                <w:color w:val="auto"/>
                <w:szCs w:val="21"/>
                <w:highlight w:val="none"/>
              </w:rPr>
              <w:t>应满足高、低限的平均值；三星级要求：住宅应满足高要求标准。</w:t>
            </w:r>
          </w:p>
          <w:p>
            <w:pPr>
              <w:ind w:firstLine="420" w:firstLineChars="200"/>
              <w:rPr>
                <w:rFonts w:hint="default" w:ascii="Times New Roman" w:hAnsi="Times New Roman" w:cs="Times New Roman"/>
                <w:color w:val="auto"/>
                <w:szCs w:val="21"/>
                <w:highlight w:val="none"/>
              </w:rPr>
            </w:pPr>
            <w:r>
              <w:rPr>
                <w:rFonts w:hint="default" w:ascii="Times New Roman" w:hAnsi="Times New Roman" w:cs="Times New Roman"/>
                <w:bCs/>
                <w:color w:val="auto"/>
                <w:szCs w:val="21"/>
                <w:highlight w:val="none"/>
              </w:rPr>
              <w:t>3）详见建筑构件隔声设计报告。</w:t>
            </w:r>
          </w:p>
        </w:tc>
      </w:tr>
    </w:tbl>
    <w:p>
      <w:pPr>
        <w:spacing w:line="360" w:lineRule="auto"/>
        <w:ind w:firstLine="420"/>
        <w:rPr>
          <w:rFonts w:hint="default" w:ascii="Times New Roman" w:hAnsi="Times New Roman" w:cs="Times New Roman"/>
          <w:color w:val="auto"/>
          <w:sz w:val="24"/>
          <w:szCs w:val="24"/>
          <w:highlight w:val="none"/>
        </w:rPr>
      </w:pPr>
    </w:p>
    <w:p>
      <w:pPr>
        <w:pStyle w:val="3"/>
        <w:numPr>
          <w:ilvl w:val="0"/>
          <w:numId w:val="8"/>
        </w:numPr>
        <w:spacing w:after="156"/>
        <w:rPr>
          <w:rFonts w:hint="default" w:ascii="Times New Roman" w:hAnsi="Times New Roman" w:cs="Times New Roman"/>
          <w:color w:val="auto"/>
          <w:highlight w:val="none"/>
        </w:rPr>
      </w:pPr>
      <w:bookmarkStart w:id="73" w:name="_Toc124520249"/>
      <w:bookmarkStart w:id="74" w:name="_Toc4661"/>
      <w:r>
        <w:rPr>
          <w:rFonts w:hint="default" w:ascii="Times New Roman" w:hAnsi="Times New Roman" w:cs="Times New Roman"/>
          <w:color w:val="auto"/>
          <w:highlight w:val="none"/>
        </w:rPr>
        <w:t>无障碍设计</w:t>
      </w:r>
      <w:bookmarkEnd w:id="73"/>
      <w:bookmarkEnd w:id="74"/>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无障碍设计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建筑、室外场地、公共绿地、城市道路相互之间是否设置连贯的无障碍步行系统</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restart"/>
            <w:vAlign w:val="center"/>
          </w:tcPr>
          <w:p>
            <w:pPr>
              <w:jc w:val="center"/>
              <w:rPr>
                <w:rFonts w:hint="default" w:ascii="Times New Roman" w:hAnsi="Times New Roman" w:cs="Times New Roman" w:eastAsiaTheme="minorEastAsia"/>
                <w:color w:val="auto"/>
                <w:sz w:val="22"/>
                <w:highlight w:val="none"/>
                <w:lang w:eastAsia="zh-CN"/>
              </w:rPr>
            </w:pPr>
            <w:r>
              <w:rPr>
                <w:rFonts w:hint="default" w:ascii="Times New Roman" w:hAnsi="Times New Roman" w:cs="Times New Roman" w:eastAsiaTheme="minorEastAsia"/>
                <w:color w:val="auto"/>
                <w:sz w:val="22"/>
                <w:highlight w:val="none"/>
                <w:lang w:eastAsia="zh-CN"/>
              </w:rPr>
              <w:t>建总施-01</w:t>
            </w:r>
          </w:p>
          <w:p>
            <w:pPr>
              <w:jc w:val="center"/>
              <w:rPr>
                <w:rFonts w:hint="default" w:ascii="Times New Roman" w:hAnsi="Times New Roman" w:cs="Times New Roman" w:eastAsiaTheme="minorEastAsia"/>
                <w:color w:val="auto"/>
                <w:sz w:val="22"/>
                <w:highlight w:val="none"/>
                <w:lang w:eastAsia="zh-CN"/>
              </w:rPr>
            </w:pPr>
            <w:r>
              <w:rPr>
                <w:rFonts w:hint="default" w:ascii="Times New Roman" w:hAnsi="Times New Roman" w:cs="Times New Roman" w:eastAsiaTheme="minorEastAsia"/>
                <w:color w:val="auto"/>
                <w:sz w:val="22"/>
                <w:highlight w:val="none"/>
                <w:lang w:eastAsia="zh-CN"/>
              </w:rPr>
              <w:t>建通施-01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室内公共区域、室外公共活动场地及道路是否进行无障碍设计</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bookmarkStart w:id="75" w:name="_Hlk112243924"/>
            <w:r>
              <w:rPr>
                <w:rFonts w:hint="default" w:ascii="Times New Roman" w:hAnsi="Times New Roman" w:cs="Times New Roman"/>
                <w:color w:val="auto"/>
                <w:kern w:val="0"/>
                <w:szCs w:val="21"/>
                <w:highlight w:val="none"/>
              </w:rPr>
              <w:t>建筑室内公共区域是否设有安全抓杆或扶手</w:t>
            </w:r>
            <w:bookmarkEnd w:id="75"/>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bookmarkStart w:id="76" w:name="_Hlk112243931"/>
            <w:r>
              <w:rPr>
                <w:rFonts w:hint="default" w:ascii="Times New Roman" w:hAnsi="Times New Roman" w:cs="Times New Roman"/>
                <w:color w:val="auto"/>
                <w:kern w:val="0"/>
                <w:szCs w:val="21"/>
                <w:highlight w:val="none"/>
              </w:rPr>
              <w:t>是否设有可容纳担架的无障碍电梯</w:t>
            </w:r>
            <w:bookmarkEnd w:id="76"/>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建筑室内公共区域的墙、柱等处的阳角是否均为圆角</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eastAsiaTheme="minorEastAsia"/>
                <w:color w:val="auto"/>
                <w:sz w:val="22"/>
                <w:highlight w:val="none"/>
              </w:rPr>
            </w:pPr>
          </w:p>
        </w:tc>
      </w:tr>
    </w:tbl>
    <w:p>
      <w:pPr>
        <w:pStyle w:val="3"/>
        <w:numPr>
          <w:ilvl w:val="0"/>
          <w:numId w:val="8"/>
        </w:numPr>
        <w:spacing w:after="156"/>
        <w:rPr>
          <w:rFonts w:hint="default" w:ascii="Times New Roman" w:hAnsi="Times New Roman" w:cs="Times New Roman"/>
          <w:color w:val="auto"/>
          <w:highlight w:val="none"/>
        </w:rPr>
      </w:pPr>
      <w:bookmarkStart w:id="77" w:name="_Toc124520250"/>
      <w:bookmarkStart w:id="78" w:name="_Toc30093"/>
      <w:r>
        <w:rPr>
          <w:rFonts w:hint="default" w:ascii="Times New Roman" w:hAnsi="Times New Roman" w:cs="Times New Roman"/>
          <w:color w:val="auto"/>
          <w:highlight w:val="none"/>
        </w:rPr>
        <w:t>安全耐久</w:t>
      </w:r>
      <w:bookmarkEnd w:id="77"/>
      <w:bookmarkEnd w:id="78"/>
    </w:p>
    <w:p>
      <w:pPr>
        <w:pStyle w:val="4"/>
        <w:numPr>
          <w:ilvl w:val="0"/>
          <w:numId w:val="9"/>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保障人员安全的防护措施</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防护措施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vAlign w:val="center"/>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采取措施提高阳台、外窗、窗台、防护栏杆等安全防护水平</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restart"/>
            <w:vAlign w:val="center"/>
          </w:tcPr>
          <w:p>
            <w:pPr>
              <w:jc w:val="center"/>
              <w:rPr>
                <w:rFonts w:hint="default" w:ascii="Times New Roman" w:hAnsi="Times New Roman" w:cs="Times New Roman" w:eastAsiaTheme="minorEastAsia"/>
                <w:color w:val="auto"/>
                <w:sz w:val="22"/>
                <w:highlight w:val="none"/>
                <w:lang w:eastAsia="zh-CN"/>
              </w:rPr>
            </w:pPr>
            <w:r>
              <w:rPr>
                <w:rFonts w:hint="default" w:ascii="Times New Roman" w:hAnsi="Times New Roman" w:cs="Times New Roman" w:eastAsiaTheme="minorEastAsia"/>
                <w:color w:val="auto"/>
                <w:sz w:val="22"/>
                <w:highlight w:val="none"/>
                <w:lang w:eastAsia="zh-CN"/>
              </w:rPr>
              <w:t>建总施-01</w:t>
            </w:r>
          </w:p>
          <w:p>
            <w:pPr>
              <w:jc w:val="center"/>
              <w:rPr>
                <w:rFonts w:hint="default" w:ascii="Times New Roman" w:hAnsi="Times New Roman" w:cs="Times New Roman" w:eastAsiaTheme="minorEastAsia"/>
                <w:color w:val="auto"/>
                <w:sz w:val="22"/>
                <w:highlight w:val="none"/>
                <w:lang w:eastAsia="zh-CN"/>
              </w:rPr>
            </w:pPr>
            <w:r>
              <w:rPr>
                <w:rFonts w:hint="default" w:ascii="Times New Roman" w:hAnsi="Times New Roman" w:cs="Times New Roman" w:eastAsiaTheme="minorEastAsia"/>
                <w:color w:val="auto"/>
                <w:sz w:val="22"/>
                <w:highlight w:val="none"/>
                <w:lang w:eastAsia="zh-CN"/>
              </w:rPr>
              <w:t>建通施-01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vAlign w:val="center"/>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建筑物出入口均设外墙饰面、门窗玻璃意外脱落的防护措施，并与人员通行区域的遮阳、遮风或挡雨措施结合</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bl>
    <w:p>
      <w:pPr>
        <w:spacing w:line="360" w:lineRule="auto"/>
        <w:ind w:firstLine="480" w:firstLineChars="200"/>
        <w:rPr>
          <w:rFonts w:hint="default" w:ascii="Times New Roman" w:hAnsi="Times New Roman" w:cs="Times New Roman"/>
          <w:color w:val="auto"/>
          <w:sz w:val="24"/>
          <w:szCs w:val="24"/>
          <w:highlight w:val="none"/>
        </w:rPr>
      </w:pP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利用场地或景观形成可降低坠物风险的缓冲区、隔离带：■是□否</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1212"/>
        <w:gridCol w:w="4727"/>
        <w:gridCol w:w="15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防坠物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27" w:type="dxa"/>
            <w:gridSpan w:val="3"/>
            <w:shd w:val="clear" w:color="auto" w:fill="9FD3A4"/>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578" w:type="dxa"/>
            <w:shd w:val="clear" w:color="auto" w:fill="9FD3A4"/>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主动防坠设计</w:t>
            </w:r>
          </w:p>
        </w:tc>
        <w:tc>
          <w:tcPr>
            <w:tcW w:w="5939"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阳台外窗采用高窗设计</w:t>
            </w:r>
          </w:p>
        </w:tc>
        <w:tc>
          <w:tcPr>
            <w:tcW w:w="1578"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5939"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限制窗扇开启角度</w:t>
            </w:r>
          </w:p>
        </w:tc>
        <w:tc>
          <w:tcPr>
            <w:tcW w:w="1578"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98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5939"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窗台与绿化种植整合设计</w:t>
            </w:r>
          </w:p>
        </w:tc>
        <w:tc>
          <w:tcPr>
            <w:tcW w:w="1578"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5939"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适度减少防护栏杆垂直杆件水平净距</w:t>
            </w:r>
          </w:p>
        </w:tc>
        <w:tc>
          <w:tcPr>
            <w:tcW w:w="1578"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5939"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安装隐形防盗网</w:t>
            </w:r>
          </w:p>
        </w:tc>
        <w:tc>
          <w:tcPr>
            <w:tcW w:w="1578"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5939"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增加栏板宽度</w:t>
            </w:r>
          </w:p>
        </w:tc>
        <w:tc>
          <w:tcPr>
            <w:tcW w:w="1578"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5939"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其他措施：</w:t>
            </w:r>
          </w:p>
        </w:tc>
        <w:tc>
          <w:tcPr>
            <w:tcW w:w="1578"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被动</w:t>
            </w:r>
          </w:p>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防坠</w:t>
            </w:r>
          </w:p>
        </w:tc>
        <w:tc>
          <w:tcPr>
            <w:tcW w:w="5939"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建筑物出入口均设外墙饰面、门窗玻璃意外脱落的防护措施</w:t>
            </w:r>
          </w:p>
        </w:tc>
        <w:tc>
          <w:tcPr>
            <w:tcW w:w="1578"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tcPr>
          <w:p>
            <w:pPr>
              <w:spacing w:line="360" w:lineRule="auto"/>
              <w:rPr>
                <w:rFonts w:hint="default" w:ascii="Times New Roman" w:hAnsi="Times New Roman" w:cs="Times New Roman"/>
                <w:color w:val="auto"/>
                <w:kern w:val="0"/>
                <w:szCs w:val="21"/>
                <w:highlight w:val="none"/>
              </w:rPr>
            </w:pPr>
          </w:p>
        </w:tc>
        <w:tc>
          <w:tcPr>
            <w:tcW w:w="5939"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建筑物周边利用场地或景观形成可降低坠物风险的缓冲区、隔离带</w:t>
            </w:r>
          </w:p>
        </w:tc>
        <w:tc>
          <w:tcPr>
            <w:tcW w:w="1578"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tcPr>
          <w:p>
            <w:pPr>
              <w:spacing w:line="360" w:lineRule="auto"/>
              <w:rPr>
                <w:rFonts w:hint="default" w:ascii="Times New Roman" w:hAnsi="Times New Roman" w:cs="Times New Roman"/>
                <w:color w:val="auto"/>
                <w:w w:val="105"/>
                <w:kern w:val="0"/>
                <w:szCs w:val="21"/>
                <w:highlight w:val="none"/>
              </w:rPr>
            </w:pPr>
          </w:p>
        </w:tc>
        <w:tc>
          <w:tcPr>
            <w:tcW w:w="1212" w:type="dxa"/>
          </w:tcPr>
          <w:p>
            <w:pPr>
              <w:spacing w:line="360" w:lineRule="auto"/>
              <w:rPr>
                <w:rFonts w:hint="default" w:ascii="Times New Roman" w:hAnsi="Times New Roman" w:cs="Times New Roman"/>
                <w:color w:val="auto"/>
                <w:w w:val="105"/>
                <w:kern w:val="0"/>
                <w:szCs w:val="21"/>
                <w:highlight w:val="none"/>
              </w:rPr>
            </w:pPr>
            <w:r>
              <w:rPr>
                <w:rFonts w:hint="default" w:ascii="Times New Roman" w:hAnsi="Times New Roman" w:cs="Times New Roman"/>
                <w:color w:val="auto"/>
                <w:kern w:val="0"/>
                <w:szCs w:val="21"/>
                <w:highlight w:val="none"/>
              </w:rPr>
              <w:t>其他措施：</w:t>
            </w:r>
          </w:p>
        </w:tc>
        <w:tc>
          <w:tcPr>
            <w:tcW w:w="6305" w:type="dxa"/>
            <w:gridSpan w:val="2"/>
            <w:vAlign w:val="center"/>
          </w:tcPr>
          <w:p>
            <w:pPr>
              <w:spacing w:line="360" w:lineRule="auto"/>
              <w:jc w:val="center"/>
              <w:rPr>
                <w:rFonts w:hint="default" w:ascii="Times New Roman" w:hAnsi="Times New Roman" w:cs="Times New Roman"/>
                <w:color w:val="auto"/>
                <w:kern w:val="0"/>
                <w:szCs w:val="21"/>
                <w:highlight w:val="none"/>
              </w:rPr>
            </w:pPr>
          </w:p>
        </w:tc>
      </w:tr>
    </w:tbl>
    <w:p>
      <w:pPr>
        <w:pStyle w:val="4"/>
        <w:numPr>
          <w:ilvl w:val="0"/>
          <w:numId w:val="9"/>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具有安全防护功能的产品或配件</w:t>
      </w:r>
    </w:p>
    <w:p>
      <w:pPr>
        <w:spacing w:line="360" w:lineRule="auto"/>
        <w:ind w:firstLine="480" w:firstLineChars="200"/>
        <w:rPr>
          <w:rFonts w:hint="default" w:ascii="Times New Roman" w:hAnsi="Times New Roman" w:cs="Times New Roman"/>
          <w:color w:val="auto"/>
          <w:kern w:val="0"/>
          <w:sz w:val="24"/>
          <w:szCs w:val="24"/>
          <w:highlight w:val="none"/>
        </w:rPr>
      </w:pPr>
      <w:bookmarkStart w:id="79" w:name="_Hlk112243971"/>
      <w:r>
        <w:rPr>
          <w:rFonts w:hint="default" w:ascii="Times New Roman" w:hAnsi="Times New Roman" w:cs="Times New Roman"/>
          <w:color w:val="auto"/>
          <w:kern w:val="0"/>
          <w:sz w:val="24"/>
          <w:szCs w:val="24"/>
          <w:highlight w:val="none"/>
        </w:rPr>
        <w:t>采用具有安全防护功能的玻璃：</w:t>
      </w:r>
      <w:r>
        <w:rPr>
          <w:rFonts w:hint="default" w:ascii="Times New Roman" w:hAnsi="Times New Roman" w:cs="Times New Roman"/>
          <w:color w:val="auto"/>
          <w:kern w:val="0"/>
          <w:szCs w:val="21"/>
          <w:highlight w:val="none"/>
        </w:rPr>
        <w:t>■</w:t>
      </w:r>
      <w:r>
        <w:rPr>
          <w:rFonts w:hint="default" w:ascii="Times New Roman" w:hAnsi="Times New Roman" w:cs="Times New Roman"/>
          <w:color w:val="auto"/>
          <w:sz w:val="24"/>
          <w:szCs w:val="24"/>
          <w:highlight w:val="none"/>
        </w:rPr>
        <w:t>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kern w:val="0"/>
          <w:sz w:val="24"/>
          <w:szCs w:val="24"/>
          <w:highlight w:val="none"/>
        </w:rPr>
        <w:t>采用具备防夹功能的门窗：</w:t>
      </w:r>
      <w:r>
        <w:rPr>
          <w:rFonts w:hint="default" w:ascii="Times New Roman" w:hAnsi="Times New Roman" w:cs="Times New Roman"/>
          <w:color w:val="auto"/>
          <w:sz w:val="24"/>
          <w:szCs w:val="24"/>
          <w:highlight w:val="none"/>
        </w:rPr>
        <w:t>□是</w:t>
      </w:r>
      <w:r>
        <w:rPr>
          <w:rFonts w:hint="default" w:ascii="Times New Roman" w:hAnsi="Times New Roman" w:cs="Times New Roman"/>
          <w:color w:val="auto"/>
          <w:kern w:val="0"/>
          <w:szCs w:val="21"/>
          <w:highlight w:val="none"/>
        </w:rPr>
        <w:t>■</w:t>
      </w:r>
      <w:r>
        <w:rPr>
          <w:rFonts w:hint="default" w:ascii="Times New Roman" w:hAnsi="Times New Roman" w:cs="Times New Roman"/>
          <w:color w:val="auto"/>
          <w:sz w:val="24"/>
          <w:szCs w:val="24"/>
          <w:highlight w:val="none"/>
        </w:rPr>
        <w:t>否</w:t>
      </w:r>
    </w:p>
    <w:bookmarkEnd w:id="79"/>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1270"/>
        <w:gridCol w:w="4763"/>
        <w:gridCol w:w="14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门窗安全防护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21" w:type="dxa"/>
            <w:gridSpan w:val="3"/>
            <w:shd w:val="clear" w:color="auto" w:fill="9FD3A4"/>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484" w:type="dxa"/>
            <w:shd w:val="clear" w:color="auto" w:fill="9FD3A4"/>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玻璃</w:t>
            </w:r>
          </w:p>
        </w:tc>
        <w:tc>
          <w:tcPr>
            <w:tcW w:w="6033"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分隔建筑室内外的玻璃门窗、幕墙、防护栏杆等采用安全玻璃</w:t>
            </w:r>
          </w:p>
        </w:tc>
        <w:tc>
          <w:tcPr>
            <w:tcW w:w="1484"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6033"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室内玻璃隔断、玻璃护栏等采用夹胶钢化玻璃</w:t>
            </w:r>
          </w:p>
        </w:tc>
        <w:tc>
          <w:tcPr>
            <w:tcW w:w="1484"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6033"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关键场所的安全玻璃制品采取其他防护（如防碰撞）</w:t>
            </w:r>
          </w:p>
        </w:tc>
        <w:tc>
          <w:tcPr>
            <w:tcW w:w="1484"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6033"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关键场所的安全玻璃制品设置容易识别的标识</w:t>
            </w:r>
          </w:p>
        </w:tc>
        <w:tc>
          <w:tcPr>
            <w:tcW w:w="1484"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27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其他措施：</w:t>
            </w:r>
          </w:p>
        </w:tc>
        <w:tc>
          <w:tcPr>
            <w:tcW w:w="6247" w:type="dxa"/>
            <w:gridSpan w:val="2"/>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门窗</w:t>
            </w:r>
          </w:p>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防夹</w:t>
            </w:r>
          </w:p>
        </w:tc>
        <w:tc>
          <w:tcPr>
            <w:tcW w:w="6033" w:type="dxa"/>
            <w:gridSpan w:val="2"/>
          </w:tcPr>
          <w:p>
            <w:pPr>
              <w:spacing w:line="360" w:lineRule="auto"/>
              <w:rPr>
                <w:rFonts w:hint="default" w:ascii="Times New Roman" w:hAnsi="Times New Roman" w:cs="Times New Roman"/>
                <w:color w:val="auto"/>
                <w:kern w:val="0"/>
                <w:szCs w:val="21"/>
                <w:highlight w:val="none"/>
              </w:rPr>
            </w:pPr>
            <w:bookmarkStart w:id="80" w:name="_Hlk112243981"/>
            <w:r>
              <w:rPr>
                <w:rFonts w:hint="default" w:ascii="Times New Roman" w:hAnsi="Times New Roman" w:cs="Times New Roman"/>
                <w:color w:val="auto"/>
                <w:kern w:val="0"/>
                <w:szCs w:val="21"/>
                <w:highlight w:val="none"/>
              </w:rPr>
              <w:t>人流量大、门窗开合频繁的位置，采用可调力度的闭门器</w:t>
            </w:r>
            <w:bookmarkEnd w:id="80"/>
          </w:p>
        </w:tc>
        <w:tc>
          <w:tcPr>
            <w:tcW w:w="1484"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tcPr>
          <w:p>
            <w:pPr>
              <w:spacing w:line="360" w:lineRule="auto"/>
              <w:rPr>
                <w:rFonts w:hint="default" w:ascii="Times New Roman" w:hAnsi="Times New Roman" w:cs="Times New Roman"/>
                <w:color w:val="auto"/>
                <w:kern w:val="0"/>
                <w:szCs w:val="21"/>
                <w:highlight w:val="none"/>
              </w:rPr>
            </w:pPr>
          </w:p>
        </w:tc>
        <w:tc>
          <w:tcPr>
            <w:tcW w:w="6033"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采用具有缓冲功能的延时闭门器</w:t>
            </w:r>
          </w:p>
        </w:tc>
        <w:tc>
          <w:tcPr>
            <w:tcW w:w="1484"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tcPr>
          <w:p>
            <w:pPr>
              <w:spacing w:line="360" w:lineRule="auto"/>
              <w:rPr>
                <w:rFonts w:hint="default" w:ascii="Times New Roman" w:hAnsi="Times New Roman" w:cs="Times New Roman"/>
                <w:color w:val="auto"/>
                <w:w w:val="105"/>
                <w:kern w:val="0"/>
                <w:szCs w:val="21"/>
                <w:highlight w:val="none"/>
              </w:rPr>
            </w:pPr>
          </w:p>
        </w:tc>
        <w:tc>
          <w:tcPr>
            <w:tcW w:w="1270" w:type="dxa"/>
          </w:tcPr>
          <w:p>
            <w:pPr>
              <w:spacing w:line="360" w:lineRule="auto"/>
              <w:rPr>
                <w:rFonts w:hint="default" w:ascii="Times New Roman" w:hAnsi="Times New Roman" w:cs="Times New Roman"/>
                <w:color w:val="auto"/>
                <w:w w:val="105"/>
                <w:kern w:val="0"/>
                <w:szCs w:val="21"/>
                <w:highlight w:val="none"/>
              </w:rPr>
            </w:pPr>
            <w:r>
              <w:rPr>
                <w:rFonts w:hint="default" w:ascii="Times New Roman" w:hAnsi="Times New Roman" w:cs="Times New Roman"/>
                <w:color w:val="auto"/>
                <w:kern w:val="0"/>
                <w:szCs w:val="21"/>
                <w:highlight w:val="none"/>
              </w:rPr>
              <w:t>其他措施：</w:t>
            </w:r>
          </w:p>
        </w:tc>
        <w:tc>
          <w:tcPr>
            <w:tcW w:w="6247" w:type="dxa"/>
            <w:gridSpan w:val="2"/>
            <w:vAlign w:val="center"/>
          </w:tcPr>
          <w:p>
            <w:pPr>
              <w:spacing w:line="360" w:lineRule="auto"/>
              <w:jc w:val="center"/>
              <w:rPr>
                <w:rFonts w:hint="default" w:ascii="Times New Roman" w:hAnsi="Times New Roman" w:cs="Times New Roman"/>
                <w:color w:val="auto"/>
                <w:kern w:val="0"/>
                <w:szCs w:val="21"/>
                <w:highlight w:val="none"/>
              </w:rPr>
            </w:pPr>
          </w:p>
        </w:tc>
      </w:tr>
    </w:tbl>
    <w:p>
      <w:pPr>
        <w:rPr>
          <w:rFonts w:hint="default" w:ascii="Times New Roman" w:hAnsi="Times New Roman" w:cs="Times New Roman"/>
          <w:color w:val="auto"/>
          <w:highlight w:val="none"/>
        </w:rPr>
      </w:pPr>
    </w:p>
    <w:p>
      <w:pPr>
        <w:pStyle w:val="4"/>
        <w:numPr>
          <w:ilvl w:val="0"/>
          <w:numId w:val="9"/>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卫生间、浴室防水防潮</w:t>
      </w:r>
    </w:p>
    <w:p>
      <w:pPr>
        <w:spacing w:line="360" w:lineRule="auto"/>
        <w:ind w:firstLine="480" w:firstLineChars="200"/>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地面设置防水层：</w:t>
      </w:r>
      <w:r>
        <w:rPr>
          <w:rFonts w:hint="default" w:ascii="Times New Roman" w:hAnsi="Times New Roman" w:cs="Times New Roman"/>
          <w:color w:val="auto"/>
          <w:sz w:val="24"/>
          <w:szCs w:val="24"/>
          <w:highlight w:val="none"/>
        </w:rPr>
        <w:t>■是□否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kern w:val="0"/>
          <w:sz w:val="24"/>
          <w:szCs w:val="24"/>
          <w:highlight w:val="none"/>
        </w:rPr>
        <w:t>墙面、顶棚设置防潮层：</w:t>
      </w:r>
      <w:r>
        <w:rPr>
          <w:rFonts w:hint="default" w:ascii="Times New Roman" w:hAnsi="Times New Roman" w:cs="Times New Roman"/>
          <w:color w:val="auto"/>
          <w:sz w:val="24"/>
          <w:szCs w:val="24"/>
          <w:highlight w:val="none"/>
        </w:rPr>
        <w:t>■是□否</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8"/>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2"/>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lang w:val="zh-CN"/>
              </w:rPr>
              <w:t>卫生间、浴室防水防潮措施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38" w:type="dxa"/>
            <w:shd w:val="clear" w:color="auto" w:fill="9FD3A4"/>
            <w:vAlign w:val="center"/>
          </w:tcPr>
          <w:p>
            <w:pPr>
              <w:spacing w:line="360" w:lineRule="auto"/>
              <w:jc w:val="center"/>
              <w:rPr>
                <w:rFonts w:hint="default" w:ascii="Times New Roman" w:hAnsi="Times New Roman" w:cs="Times New Roman"/>
                <w:color w:val="auto"/>
                <w:kern w:val="0"/>
                <w:szCs w:val="21"/>
                <w:highlight w:val="none"/>
                <w:lang w:val="zh-CN"/>
              </w:rPr>
            </w:pPr>
            <w:r>
              <w:rPr>
                <w:rFonts w:hint="default" w:ascii="Times New Roman" w:hAnsi="Times New Roman" w:cs="Times New Roman"/>
                <w:color w:val="auto"/>
                <w:kern w:val="0"/>
                <w:szCs w:val="21"/>
                <w:highlight w:val="none"/>
              </w:rPr>
              <w:t>措施分项</w:t>
            </w:r>
          </w:p>
        </w:tc>
        <w:tc>
          <w:tcPr>
            <w:tcW w:w="1467" w:type="dxa"/>
            <w:shd w:val="clear" w:color="auto" w:fill="9FD3A4"/>
            <w:vAlign w:val="center"/>
          </w:tcPr>
          <w:p>
            <w:pPr>
              <w:spacing w:line="360" w:lineRule="auto"/>
              <w:jc w:val="center"/>
              <w:rPr>
                <w:rFonts w:hint="default" w:ascii="Times New Roman" w:hAnsi="Times New Roman" w:cs="Times New Roman"/>
                <w:color w:val="auto"/>
                <w:kern w:val="0"/>
                <w:szCs w:val="21"/>
                <w:highlight w:val="none"/>
                <w:lang w:val="zh-CN"/>
              </w:rPr>
            </w:pPr>
            <w:r>
              <w:rPr>
                <w:rFonts w:hint="default" w:ascii="Times New Roman" w:hAnsi="Times New Roman" w:cs="Times New Roman"/>
                <w:color w:val="auto"/>
                <w:kern w:val="0"/>
                <w:szCs w:val="21"/>
                <w:highlight w:val="none"/>
              </w:rPr>
              <w:t>采纳情况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bCs/>
                <w:color w:val="auto"/>
                <w:kern w:val="0"/>
                <w:szCs w:val="21"/>
                <w:highlight w:val="none"/>
                <w:lang w:val="zh-CN"/>
              </w:rPr>
              <w:t>楼地面低于相邻楼地面15.0mm</w:t>
            </w:r>
          </w:p>
        </w:tc>
        <w:tc>
          <w:tcPr>
            <w:tcW w:w="146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zh-CN"/>
              </w:rPr>
              <w:t>采取防水、防滑的构造措施（如</w:t>
            </w:r>
            <w:r>
              <w:rPr>
                <w:rFonts w:hint="default" w:ascii="Times New Roman" w:hAnsi="Times New Roman" w:cs="Times New Roman"/>
                <w:bCs/>
                <w:color w:val="auto"/>
                <w:kern w:val="0"/>
                <w:szCs w:val="21"/>
                <w:highlight w:val="none"/>
                <w:lang w:val="zh-CN"/>
              </w:rPr>
              <w:t>采用不吸水、易冲洗、防滑的面层材料</w:t>
            </w:r>
            <w:r>
              <w:rPr>
                <w:rFonts w:hint="default" w:ascii="Times New Roman" w:hAnsi="Times New Roman" w:cs="Times New Roman"/>
                <w:color w:val="auto"/>
                <w:kern w:val="0"/>
                <w:szCs w:val="21"/>
                <w:highlight w:val="none"/>
                <w:lang w:val="zh-CN"/>
              </w:rPr>
              <w:t>）</w:t>
            </w:r>
          </w:p>
        </w:tc>
        <w:tc>
          <w:tcPr>
            <w:tcW w:w="146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bCs/>
                <w:color w:val="auto"/>
                <w:kern w:val="0"/>
                <w:szCs w:val="21"/>
                <w:highlight w:val="none"/>
                <w:lang w:val="zh-CN"/>
              </w:rPr>
              <w:t>设排水坡坡向地漏</w:t>
            </w:r>
          </w:p>
        </w:tc>
        <w:tc>
          <w:tcPr>
            <w:tcW w:w="146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bCs/>
                <w:color w:val="auto"/>
                <w:kern w:val="0"/>
                <w:szCs w:val="21"/>
                <w:highlight w:val="none"/>
                <w:lang w:val="zh-CN"/>
              </w:rPr>
              <w:t>设门槛等挡水设施</w:t>
            </w:r>
          </w:p>
        </w:tc>
        <w:tc>
          <w:tcPr>
            <w:tcW w:w="146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bCs/>
                <w:color w:val="auto"/>
                <w:kern w:val="0"/>
                <w:szCs w:val="21"/>
                <w:highlight w:val="none"/>
                <w:lang w:val="zh-CN"/>
              </w:rPr>
              <w:t>设排水设施</w:t>
            </w:r>
          </w:p>
        </w:tc>
        <w:tc>
          <w:tcPr>
            <w:tcW w:w="146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38" w:type="dxa"/>
          </w:tcPr>
          <w:p>
            <w:pPr>
              <w:spacing w:line="360" w:lineRule="auto"/>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设防水隔离层</w:t>
            </w:r>
          </w:p>
        </w:tc>
        <w:tc>
          <w:tcPr>
            <w:tcW w:w="146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bl>
    <w:p>
      <w:pPr>
        <w:spacing w:line="360" w:lineRule="auto"/>
        <w:ind w:firstLine="480" w:firstLineChars="200"/>
        <w:rPr>
          <w:rFonts w:hint="default" w:ascii="Times New Roman" w:hAnsi="Times New Roman" w:cs="Times New Roman"/>
          <w:color w:val="auto"/>
          <w:sz w:val="24"/>
          <w:szCs w:val="24"/>
          <w:highlight w:val="none"/>
        </w:rPr>
      </w:pP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4"/>
        <w:numPr>
          <w:ilvl w:val="0"/>
          <w:numId w:val="9"/>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室内外地面或路面设置防滑</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防滑措施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vAlign w:val="center"/>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建筑出入口及平台、公共走廊、电梯门厅、厨房、浴室、卫生间等设置防滑措施，防滑等级不低于现行行业标准《建筑地面工程防滑技术规程》JGJ/T331规定的Bd、Bw级</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restart"/>
            <w:vAlign w:val="center"/>
          </w:tcPr>
          <w:p>
            <w:pPr>
              <w:jc w:val="center"/>
              <w:rPr>
                <w:rFonts w:hint="default" w:ascii="Times New Roman" w:hAnsi="Times New Roman" w:eastAsia="宋体" w:cs="Times New Roman"/>
                <w:color w:val="auto"/>
                <w:kern w:val="0"/>
                <w:szCs w:val="21"/>
                <w:highlight w:val="none"/>
                <w:lang w:eastAsia="zh-CN"/>
              </w:rPr>
            </w:pPr>
            <w:r>
              <w:rPr>
                <w:rFonts w:hint="default" w:ascii="Times New Roman" w:hAnsi="Times New Roman" w:cs="Times New Roman" w:eastAsiaTheme="minorEastAsia"/>
                <w:color w:val="auto"/>
                <w:sz w:val="22"/>
                <w:highlight w:val="none"/>
                <w:lang w:eastAsia="zh-CN"/>
              </w:rPr>
              <w:t>建通施-01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vAlign w:val="center"/>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建筑室内外活动场所、坡道、楼梯踏步、路面采用防滑地面，防滑等级达到现行行业标准《建筑地面工程防滑技术规程》JGJ/T331规定的Ad、Aw级</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vAlign w:val="center"/>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建筑坡道、楼梯踏步防滑等级达到现行行业标准《建筑地面工程防滑技术规程》JGJ/T331规定的Ad、Aw级或按水平地面等级提高一级，并采用防滑条等防滑构造技术措施</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bl>
    <w:p>
      <w:pPr>
        <w:spacing w:line="360" w:lineRule="auto"/>
        <w:ind w:left="420"/>
        <w:rPr>
          <w:rFonts w:hint="default" w:ascii="Times New Roman" w:hAnsi="Times New Roman" w:cs="Times New Roman"/>
          <w:color w:val="auto"/>
          <w:sz w:val="24"/>
          <w:highlight w:val="none"/>
        </w:rPr>
      </w:pP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4"/>
        <w:numPr>
          <w:ilvl w:val="0"/>
          <w:numId w:val="9"/>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建筑适变性</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1212"/>
        <w:gridCol w:w="4830"/>
        <w:gridCol w:w="14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建筑适变性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30" w:type="dxa"/>
            <w:gridSpan w:val="3"/>
            <w:shd w:val="clear" w:color="auto" w:fill="9FD3A4"/>
            <w:vAlign w:val="center"/>
          </w:tcPr>
          <w:p>
            <w:pPr>
              <w:spacing w:line="360" w:lineRule="auto"/>
              <w:jc w:val="center"/>
              <w:rPr>
                <w:rFonts w:hint="default" w:ascii="Times New Roman" w:hAnsi="Times New Roman" w:cs="Times New Roman"/>
                <w:color w:val="auto"/>
                <w:kern w:val="0"/>
                <w:szCs w:val="21"/>
                <w:highlight w:val="none"/>
                <w:lang w:val="zh-CN"/>
              </w:rPr>
            </w:pPr>
            <w:r>
              <w:rPr>
                <w:rFonts w:hint="default" w:ascii="Times New Roman" w:hAnsi="Times New Roman" w:cs="Times New Roman"/>
                <w:color w:val="auto"/>
                <w:kern w:val="0"/>
                <w:szCs w:val="21"/>
                <w:highlight w:val="none"/>
              </w:rPr>
              <w:t>措施分项</w:t>
            </w:r>
          </w:p>
        </w:tc>
        <w:tc>
          <w:tcPr>
            <w:tcW w:w="1475" w:type="dxa"/>
            <w:shd w:val="clear" w:color="auto" w:fill="9FD3A4"/>
            <w:vAlign w:val="center"/>
          </w:tcPr>
          <w:p>
            <w:pPr>
              <w:spacing w:line="360" w:lineRule="auto"/>
              <w:jc w:val="center"/>
              <w:rPr>
                <w:rFonts w:hint="default" w:ascii="Times New Roman" w:hAnsi="Times New Roman" w:cs="Times New Roman"/>
                <w:color w:val="auto"/>
                <w:kern w:val="0"/>
                <w:szCs w:val="21"/>
                <w:highlight w:val="none"/>
                <w:lang w:val="zh-CN"/>
              </w:rPr>
            </w:pPr>
            <w:r>
              <w:rPr>
                <w:rFonts w:hint="default" w:ascii="Times New Roman" w:hAnsi="Times New Roman" w:cs="Times New Roman"/>
                <w:color w:val="auto"/>
                <w:kern w:val="0"/>
                <w:szCs w:val="21"/>
                <w:highlight w:val="none"/>
              </w:rPr>
              <w:t>采纳情况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灵活可变的空间设计</w:t>
            </w:r>
          </w:p>
        </w:tc>
        <w:tc>
          <w:tcPr>
            <w:tcW w:w="6042"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楼面采用大开间和大进深结构布置</w:t>
            </w:r>
          </w:p>
        </w:tc>
        <w:tc>
          <w:tcPr>
            <w:tcW w:w="147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6042"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灵活布置内隔墙</w:t>
            </w:r>
          </w:p>
        </w:tc>
        <w:tc>
          <w:tcPr>
            <w:tcW w:w="147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6042"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提高楼面活荷载取值，高于国家标准规定值的25%，且不小于1kN/㎡</w:t>
            </w:r>
          </w:p>
        </w:tc>
        <w:tc>
          <w:tcPr>
            <w:tcW w:w="147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212"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其他措施：</w:t>
            </w:r>
          </w:p>
        </w:tc>
        <w:tc>
          <w:tcPr>
            <w:tcW w:w="6305" w:type="dxa"/>
            <w:gridSpan w:val="2"/>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管线</w:t>
            </w:r>
          </w:p>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分离</w:t>
            </w:r>
          </w:p>
        </w:tc>
        <w:tc>
          <w:tcPr>
            <w:tcW w:w="6042" w:type="dxa"/>
            <w:gridSpan w:val="2"/>
            <w:vAlign w:val="center"/>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建筑结构与建筑设备管线分离</w:t>
            </w:r>
          </w:p>
        </w:tc>
        <w:tc>
          <w:tcPr>
            <w:tcW w:w="147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设备</w:t>
            </w:r>
          </w:p>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设施</w:t>
            </w:r>
          </w:p>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适变性</w:t>
            </w:r>
          </w:p>
        </w:tc>
        <w:tc>
          <w:tcPr>
            <w:tcW w:w="6042"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设备设施布置和控制方式适变，如层内或户内水暖电设备竖井及分户计量控制箱不改变即可满足建筑适变的要求。</w:t>
            </w:r>
          </w:p>
        </w:tc>
        <w:tc>
          <w:tcPr>
            <w:tcW w:w="147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tcPr>
          <w:p>
            <w:pPr>
              <w:spacing w:line="360" w:lineRule="auto"/>
              <w:rPr>
                <w:rFonts w:hint="default" w:ascii="Times New Roman" w:hAnsi="Times New Roman" w:cs="Times New Roman"/>
                <w:color w:val="auto"/>
                <w:kern w:val="0"/>
                <w:szCs w:val="21"/>
                <w:highlight w:val="none"/>
              </w:rPr>
            </w:pPr>
          </w:p>
        </w:tc>
        <w:tc>
          <w:tcPr>
            <w:tcW w:w="6042"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设备空间模数化设计，设备设施模块化布置，包括整体厨卫、标准尺寸的电梯等。</w:t>
            </w:r>
          </w:p>
        </w:tc>
        <w:tc>
          <w:tcPr>
            <w:tcW w:w="147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tcPr>
          <w:p>
            <w:pPr>
              <w:spacing w:line="360" w:lineRule="auto"/>
              <w:rPr>
                <w:rFonts w:hint="default" w:ascii="Times New Roman" w:hAnsi="Times New Roman" w:cs="Times New Roman"/>
                <w:color w:val="auto"/>
                <w:kern w:val="0"/>
                <w:szCs w:val="21"/>
                <w:highlight w:val="none"/>
              </w:rPr>
            </w:pPr>
          </w:p>
        </w:tc>
        <w:tc>
          <w:tcPr>
            <w:tcW w:w="6042"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公共建筑采用可移动、可组合的办公家具、隔断等。</w:t>
            </w:r>
          </w:p>
        </w:tc>
        <w:tc>
          <w:tcPr>
            <w:tcW w:w="147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tcPr>
          <w:p>
            <w:pPr>
              <w:spacing w:line="360" w:lineRule="auto"/>
              <w:rPr>
                <w:rFonts w:hint="default" w:ascii="Times New Roman" w:hAnsi="Times New Roman" w:cs="Times New Roman"/>
                <w:color w:val="auto"/>
                <w:w w:val="105"/>
                <w:kern w:val="0"/>
                <w:szCs w:val="21"/>
                <w:highlight w:val="none"/>
              </w:rPr>
            </w:pPr>
          </w:p>
        </w:tc>
        <w:tc>
          <w:tcPr>
            <w:tcW w:w="1212" w:type="dxa"/>
          </w:tcPr>
          <w:p>
            <w:pPr>
              <w:spacing w:line="360" w:lineRule="auto"/>
              <w:rPr>
                <w:rFonts w:hint="default" w:ascii="Times New Roman" w:hAnsi="Times New Roman" w:cs="Times New Roman"/>
                <w:color w:val="auto"/>
                <w:w w:val="105"/>
                <w:kern w:val="0"/>
                <w:szCs w:val="21"/>
                <w:highlight w:val="none"/>
              </w:rPr>
            </w:pPr>
            <w:r>
              <w:rPr>
                <w:rFonts w:hint="default" w:ascii="Times New Roman" w:hAnsi="Times New Roman" w:cs="Times New Roman"/>
                <w:color w:val="auto"/>
                <w:kern w:val="0"/>
                <w:szCs w:val="21"/>
                <w:highlight w:val="none"/>
              </w:rPr>
              <w:t>其他措施：</w:t>
            </w:r>
          </w:p>
        </w:tc>
        <w:tc>
          <w:tcPr>
            <w:tcW w:w="6305" w:type="dxa"/>
            <w:gridSpan w:val="2"/>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tcPr>
          <w:p>
            <w:pPr>
              <w:spacing w:line="360" w:lineRule="auto"/>
              <w:rPr>
                <w:rFonts w:hint="default" w:ascii="Times New Roman" w:hAnsi="Times New Roman" w:cs="Times New Roman"/>
                <w:color w:val="auto"/>
                <w:w w:val="105"/>
                <w:kern w:val="0"/>
                <w:szCs w:val="21"/>
                <w:highlight w:val="none"/>
              </w:rPr>
            </w:pPr>
          </w:p>
        </w:tc>
        <w:tc>
          <w:tcPr>
            <w:tcW w:w="7517" w:type="dxa"/>
            <w:gridSpan w:val="3"/>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注：商店建筑可变换功能的室内空间应采用不低于30%的可重复使用的隔断（墙)。</w:t>
            </w:r>
          </w:p>
        </w:tc>
      </w:tr>
    </w:tbl>
    <w:p>
      <w:pPr>
        <w:spacing w:line="360" w:lineRule="auto"/>
        <w:ind w:firstLine="480" w:firstLineChars="200"/>
        <w:rPr>
          <w:rFonts w:hint="default" w:ascii="Times New Roman" w:hAnsi="Times New Roman" w:cs="Times New Roman"/>
          <w:color w:val="auto"/>
          <w:sz w:val="24"/>
          <w:szCs w:val="24"/>
          <w:highlight w:val="none"/>
        </w:rPr>
      </w:pPr>
    </w:p>
    <w:p>
      <w:pPr>
        <w:pStyle w:val="4"/>
        <w:numPr>
          <w:ilvl w:val="0"/>
          <w:numId w:val="9"/>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部品部件耐久性</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耐久性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使用耐腐蚀、抗老化、耐久性能好的管材、管线、管件</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w:t>
            </w: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否</w:t>
            </w:r>
          </w:p>
        </w:tc>
        <w:tc>
          <w:tcPr>
            <w:tcW w:w="1173" w:type="dxa"/>
            <w:vMerge w:val="restart"/>
            <w:vAlign w:val="center"/>
          </w:tcPr>
          <w:p>
            <w:pPr>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kern w:val="0"/>
                <w:szCs w:val="21"/>
                <w:highlight w:val="none"/>
              </w:rPr>
              <w:t>水施</w:t>
            </w:r>
            <w:r>
              <w:rPr>
                <w:rFonts w:hint="default" w:ascii="Times New Roman" w:hAnsi="Times New Roman" w:cs="Times New Roman"/>
                <w:color w:val="auto"/>
                <w:kern w:val="0"/>
                <w:szCs w:val="21"/>
                <w:highlight w:val="none"/>
                <w:lang w:val="en-US" w:eastAsia="zh-CN"/>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活动配件选用长寿命产品，并考虑部品组合的同寿命性；不同使用寿命的部品组合时，采用便于分别拆换、更新和升级的构造</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w:t>
            </w: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bl>
    <w:p>
      <w:pPr>
        <w:spacing w:line="360" w:lineRule="auto"/>
        <w:rPr>
          <w:rFonts w:hint="default" w:ascii="Times New Roman" w:hAnsi="Times New Roman" w:cs="Times New Roman"/>
          <w:color w:val="auto"/>
          <w:sz w:val="24"/>
          <w:szCs w:val="24"/>
          <w:highlight w:val="none"/>
        </w:rPr>
      </w:pPr>
    </w:p>
    <w:p>
      <w:pPr>
        <w:rPr>
          <w:rFonts w:hint="default" w:ascii="Times New Roman" w:hAnsi="Times New Roman" w:cs="Times New Roman"/>
          <w:color w:val="auto"/>
          <w:highlight w:val="none"/>
        </w:rPr>
      </w:pPr>
      <w:bookmarkStart w:id="81" w:name="_Toc13643"/>
      <w:r>
        <w:rPr>
          <w:rFonts w:hint="default" w:ascii="Times New Roman" w:hAnsi="Times New Roman" w:cs="Times New Roman"/>
          <w:color w:val="auto"/>
          <w:highlight w:val="none"/>
        </w:rPr>
        <w:br w:type="page"/>
      </w:r>
    </w:p>
    <w:p>
      <w:pPr>
        <w:pStyle w:val="3"/>
        <w:numPr>
          <w:ilvl w:val="0"/>
          <w:numId w:val="8"/>
        </w:numPr>
        <w:spacing w:after="156"/>
        <w:rPr>
          <w:rFonts w:hint="default" w:ascii="Times New Roman" w:hAnsi="Times New Roman" w:cs="Times New Roman"/>
          <w:color w:val="auto"/>
          <w:highlight w:val="none"/>
        </w:rPr>
      </w:pPr>
      <w:bookmarkStart w:id="82" w:name="_Toc124520251"/>
      <w:r>
        <w:rPr>
          <w:rFonts w:hint="default" w:ascii="Times New Roman" w:hAnsi="Times New Roman" w:cs="Times New Roman"/>
          <w:color w:val="auto"/>
          <w:highlight w:val="none"/>
        </w:rPr>
        <w:t>室内标识</w:t>
      </w:r>
      <w:bookmarkEnd w:id="81"/>
      <w:bookmarkEnd w:id="82"/>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室内标识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bookmarkStart w:id="83" w:name="_Hlk121820117"/>
            <w:r>
              <w:rPr>
                <w:rFonts w:hint="default" w:ascii="Times New Roman" w:hAnsi="Times New Roman" w:cs="Times New Roman"/>
                <w:color w:val="auto"/>
                <w:kern w:val="0"/>
                <w:szCs w:val="21"/>
                <w:highlight w:val="none"/>
              </w:rPr>
              <w:t>建筑室内应设置便于识别和使用的标识系统</w:t>
            </w:r>
            <w:bookmarkEnd w:id="83"/>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restart"/>
            <w:vAlign w:val="center"/>
          </w:tcPr>
          <w:p>
            <w:pPr>
              <w:jc w:val="center"/>
              <w:rPr>
                <w:rFonts w:hint="default" w:ascii="Times New Roman" w:hAnsi="Times New Roman" w:eastAsia="宋体" w:cs="Times New Roman"/>
                <w:color w:val="auto"/>
                <w:kern w:val="0"/>
                <w:szCs w:val="21"/>
                <w:highlight w:val="none"/>
                <w:lang w:eastAsia="zh-CN"/>
              </w:rPr>
            </w:pPr>
            <w:r>
              <w:rPr>
                <w:rFonts w:hint="default" w:ascii="Times New Roman" w:hAnsi="Times New Roman" w:cs="Times New Roman" w:eastAsiaTheme="minorEastAsia"/>
                <w:color w:val="auto"/>
                <w:sz w:val="22"/>
                <w:highlight w:val="none"/>
                <w:lang w:eastAsia="zh-CN"/>
              </w:rPr>
              <w:t>建通施-01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bookmarkStart w:id="84" w:name="_Hlk121820121"/>
            <w:r>
              <w:rPr>
                <w:rFonts w:hint="default" w:ascii="Times New Roman" w:hAnsi="Times New Roman" w:cs="Times New Roman"/>
                <w:color w:val="auto"/>
                <w:kern w:val="0"/>
                <w:szCs w:val="21"/>
                <w:highlight w:val="none"/>
              </w:rPr>
              <w:t>特定部位应具有安全防护的警示和引导标识系统</w:t>
            </w:r>
            <w:bookmarkEnd w:id="84"/>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bl>
    <w:p>
      <w:pPr>
        <w:spacing w:line="360" w:lineRule="auto"/>
        <w:rPr>
          <w:rFonts w:hint="default" w:ascii="Times New Roman" w:hAnsi="Times New Roman" w:cs="Times New Roman"/>
          <w:color w:val="auto"/>
          <w:kern w:val="0"/>
          <w:szCs w:val="21"/>
          <w:highlight w:val="none"/>
        </w:rPr>
      </w:pPr>
    </w:p>
    <w:p>
      <w:pPr>
        <w:pStyle w:val="3"/>
        <w:numPr>
          <w:ilvl w:val="0"/>
          <w:numId w:val="8"/>
        </w:numPr>
        <w:spacing w:after="156"/>
        <w:rPr>
          <w:rFonts w:hint="default" w:ascii="Times New Roman" w:hAnsi="Times New Roman" w:cs="Times New Roman"/>
          <w:color w:val="auto"/>
          <w:highlight w:val="none"/>
        </w:rPr>
      </w:pPr>
      <w:bookmarkStart w:id="85" w:name="_Toc124520252"/>
      <w:bookmarkStart w:id="86" w:name="_Toc30004"/>
      <w:r>
        <w:rPr>
          <w:rFonts w:hint="default" w:ascii="Times New Roman" w:hAnsi="Times New Roman" w:cs="Times New Roman"/>
          <w:color w:val="auto"/>
          <w:highlight w:val="none"/>
        </w:rPr>
        <w:t>室内空气</w:t>
      </w:r>
      <w:bookmarkEnd w:id="85"/>
      <w:bookmarkEnd w:id="86"/>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室内空气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提出室内污染物浓度限量要求，并符合现行国家标准《民用建筑工程室内环境污染控制标准》GB50325和《室内空气质量标准》GB/T18883的有关规定</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restart"/>
            <w:vAlign w:val="center"/>
          </w:tcPr>
          <w:p>
            <w:pPr>
              <w:jc w:val="left"/>
              <w:rPr>
                <w:rFonts w:hint="default" w:ascii="Times New Roman" w:hAnsi="Times New Roman" w:eastAsia="宋体" w:cs="Times New Roman"/>
                <w:color w:val="auto"/>
                <w:kern w:val="0"/>
                <w:szCs w:val="21"/>
                <w:highlight w:val="none"/>
                <w:lang w:eastAsia="zh-CN"/>
              </w:rPr>
            </w:pPr>
            <w:r>
              <w:rPr>
                <w:rFonts w:hint="default" w:ascii="Times New Roman" w:hAnsi="Times New Roman" w:cs="Times New Roman" w:eastAsiaTheme="minorEastAsia"/>
                <w:color w:val="auto"/>
                <w:sz w:val="22"/>
                <w:highlight w:val="none"/>
                <w:lang w:eastAsia="zh-CN"/>
              </w:rPr>
              <w:t>建通施-01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bookmarkStart w:id="87" w:name="_Hlk121829279"/>
            <w:bookmarkStart w:id="88" w:name="_Hlk112245616"/>
            <w:r>
              <w:rPr>
                <w:rFonts w:hint="default" w:ascii="Times New Roman" w:hAnsi="Times New Roman" w:cs="Times New Roman"/>
                <w:color w:val="auto"/>
                <w:kern w:val="0"/>
                <w:szCs w:val="21"/>
                <w:highlight w:val="none"/>
              </w:rPr>
              <w:t>建筑室内和建筑主要出入口在醒目位置设置禁烟标志</w:t>
            </w:r>
            <w:bookmarkEnd w:id="87"/>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bookmarkEnd w:id="88"/>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注：二星级项目提出室内污染物浓度比《室内空气质量标准》GB/T18883规定的限值降低10%</w:t>
            </w:r>
          </w:p>
        </w:tc>
      </w:tr>
    </w:tbl>
    <w:p>
      <w:pPr>
        <w:rPr>
          <w:rFonts w:hint="default" w:ascii="Times New Roman" w:hAnsi="Times New Roman" w:cs="Times New Roman"/>
          <w:color w:val="auto"/>
          <w:highlight w:val="none"/>
        </w:rPr>
      </w:pPr>
    </w:p>
    <w:p>
      <w:pPr>
        <w:pStyle w:val="3"/>
        <w:numPr>
          <w:ilvl w:val="0"/>
          <w:numId w:val="8"/>
        </w:numPr>
        <w:spacing w:after="156"/>
        <w:rPr>
          <w:rFonts w:hint="default" w:ascii="Times New Roman" w:hAnsi="Times New Roman" w:cs="Times New Roman"/>
          <w:color w:val="auto"/>
          <w:highlight w:val="none"/>
        </w:rPr>
      </w:pPr>
      <w:bookmarkStart w:id="89" w:name="_Toc124520253"/>
      <w:bookmarkStart w:id="90" w:name="_Toc17086"/>
      <w:r>
        <w:rPr>
          <w:rFonts w:hint="default" w:ascii="Times New Roman" w:hAnsi="Times New Roman" w:cs="Times New Roman"/>
          <w:color w:val="auto"/>
          <w:highlight w:val="none"/>
        </w:rPr>
        <w:t>一体化设计</w:t>
      </w:r>
      <w:bookmarkEnd w:id="89"/>
      <w:bookmarkEnd w:id="90"/>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21"/>
        <w:gridCol w:w="14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2"/>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一体化设计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21"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建筑公共部位实施土建工程与装修工程一体化设计</w:t>
            </w:r>
          </w:p>
        </w:tc>
        <w:tc>
          <w:tcPr>
            <w:tcW w:w="148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21"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建筑所有部位实施土建工程与装修工程一体化设计</w:t>
            </w:r>
          </w:p>
        </w:tc>
        <w:tc>
          <w:tcPr>
            <w:tcW w:w="148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bookmarkEnd w:id="34"/>
      <w:bookmarkEnd w:id="35"/>
      <w:bookmarkEnd w:id="36"/>
      <w:bookmarkEnd w:id="37"/>
      <w:bookmarkEnd w:id="38"/>
      <w:bookmarkEnd w:id="39"/>
      <w:bookmarkEnd w:id="40"/>
    </w:tbl>
    <w:p>
      <w:pPr>
        <w:rPr>
          <w:rFonts w:hint="default" w:ascii="Times New Roman" w:hAnsi="Times New Roman" w:cs="Times New Roman"/>
          <w:color w:val="auto"/>
          <w:highlight w:val="none"/>
        </w:rPr>
      </w:pPr>
      <w:bookmarkStart w:id="91" w:name="_Toc533426685"/>
      <w:bookmarkStart w:id="92" w:name="_Toc384284844"/>
      <w:bookmarkStart w:id="93" w:name="_Toc391477879"/>
      <w:bookmarkStart w:id="94" w:name="_Toc391469269"/>
      <w:bookmarkStart w:id="95" w:name="_Toc21051"/>
      <w:r>
        <w:rPr>
          <w:rFonts w:hint="default" w:ascii="Times New Roman" w:hAnsi="Times New Roman" w:cs="Times New Roman"/>
          <w:color w:val="auto"/>
          <w:highlight w:val="none"/>
        </w:rPr>
        <w:br w:type="page"/>
      </w:r>
    </w:p>
    <w:p>
      <w:pPr>
        <w:pStyle w:val="2"/>
        <w:numPr>
          <w:ilvl w:val="0"/>
          <w:numId w:val="1"/>
        </w:numPr>
        <w:spacing w:before="156" w:after="156"/>
        <w:rPr>
          <w:rFonts w:hint="default" w:ascii="Times New Roman" w:hAnsi="Times New Roman" w:cs="Times New Roman"/>
          <w:color w:val="auto"/>
          <w:highlight w:val="none"/>
        </w:rPr>
      </w:pPr>
      <w:bookmarkStart w:id="96" w:name="_Toc124520254"/>
      <w:r>
        <w:rPr>
          <w:rFonts w:hint="default" w:ascii="Times New Roman" w:hAnsi="Times New Roman" w:cs="Times New Roman"/>
          <w:color w:val="auto"/>
          <w:highlight w:val="none"/>
        </w:rPr>
        <w:t>结构设计</w:t>
      </w:r>
      <w:bookmarkEnd w:id="91"/>
      <w:bookmarkEnd w:id="92"/>
      <w:bookmarkEnd w:id="93"/>
      <w:bookmarkEnd w:id="94"/>
      <w:r>
        <w:rPr>
          <w:rFonts w:hint="default" w:ascii="Times New Roman" w:hAnsi="Times New Roman" w:cs="Times New Roman"/>
          <w:color w:val="auto"/>
          <w:highlight w:val="none"/>
        </w:rPr>
        <w:t>与建筑材料</w:t>
      </w:r>
      <w:bookmarkEnd w:id="95"/>
      <w:bookmarkEnd w:id="96"/>
    </w:p>
    <w:p>
      <w:pPr>
        <w:pStyle w:val="3"/>
        <w:numPr>
          <w:ilvl w:val="0"/>
          <w:numId w:val="10"/>
        </w:numPr>
        <w:spacing w:after="156"/>
        <w:rPr>
          <w:rFonts w:hint="default" w:ascii="Times New Roman" w:hAnsi="Times New Roman" w:cs="Times New Roman"/>
          <w:color w:val="auto"/>
          <w:highlight w:val="none"/>
        </w:rPr>
      </w:pPr>
      <w:bookmarkStart w:id="97" w:name="_Toc124520255"/>
      <w:bookmarkStart w:id="98" w:name="_Toc7077"/>
      <w:r>
        <w:rPr>
          <w:rFonts w:hint="default" w:ascii="Times New Roman" w:hAnsi="Times New Roman" w:cs="Times New Roman"/>
          <w:color w:val="auto"/>
          <w:highlight w:val="none"/>
        </w:rPr>
        <w:t>结构设计</w:t>
      </w:r>
      <w:bookmarkEnd w:id="97"/>
      <w:bookmarkEnd w:id="98"/>
    </w:p>
    <w:p>
      <w:pPr>
        <w:spacing w:line="360" w:lineRule="auto"/>
        <w:ind w:firstLine="420"/>
        <w:rPr>
          <w:rFonts w:hint="default" w:ascii="Times New Roman" w:hAnsi="Times New Roman" w:cs="Times New Roman"/>
          <w:color w:val="auto"/>
          <w:w w:val="105"/>
          <w:sz w:val="24"/>
          <w:szCs w:val="24"/>
          <w:highlight w:val="none"/>
        </w:rPr>
      </w:pPr>
      <w:r>
        <w:rPr>
          <w:rFonts w:hint="default" w:ascii="Times New Roman" w:hAnsi="Times New Roman" w:cs="Times New Roman"/>
          <w:color w:val="auto"/>
          <w:sz w:val="24"/>
          <w:szCs w:val="24"/>
          <w:highlight w:val="none"/>
        </w:rPr>
        <w:t>形体规则性：□规则；</w:t>
      </w:r>
      <w:r>
        <w:rPr>
          <w:rFonts w:hint="default" w:ascii="Times New Roman" w:hAnsi="Times New Roman" w:cs="Times New Roman"/>
          <w:color w:val="auto"/>
          <w:kern w:val="0"/>
          <w:szCs w:val="21"/>
          <w:highlight w:val="none"/>
        </w:rPr>
        <w:t>■</w:t>
      </w:r>
      <w:r>
        <w:rPr>
          <w:rFonts w:hint="default" w:ascii="Times New Roman" w:hAnsi="Times New Roman" w:cs="Times New Roman"/>
          <w:color w:val="auto"/>
          <w:sz w:val="24"/>
          <w:szCs w:val="24"/>
          <w:highlight w:val="none"/>
        </w:rPr>
        <w:t>不规则；□特别不规则；□严重不规则</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平面不规则的主要类型判定：</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2"/>
        <w:gridCol w:w="5202"/>
        <w:gridCol w:w="1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802" w:type="dxa"/>
            <w:shd w:val="clear" w:color="auto" w:fill="9FD3A4"/>
            <w:vAlign w:val="center"/>
          </w:tcPr>
          <w:p>
            <w:pPr>
              <w:autoSpaceDE w:val="0"/>
              <w:autoSpaceDN w:val="0"/>
              <w:adjustRightInd w:val="0"/>
              <w:snapToGrid w:val="0"/>
              <w:spacing w:line="288" w:lineRule="auto"/>
              <w:jc w:val="center"/>
              <w:rPr>
                <w:rFonts w:hint="default" w:ascii="Times New Roman" w:hAnsi="Times New Roman" w:cs="Times New Roman"/>
                <w:bCs/>
                <w:color w:val="auto"/>
                <w:szCs w:val="21"/>
                <w:highlight w:val="none"/>
              </w:rPr>
            </w:pPr>
            <w:r>
              <w:rPr>
                <w:rFonts w:hint="default" w:ascii="Times New Roman" w:hAnsi="Times New Roman" w:cs="Times New Roman"/>
                <w:color w:val="auto"/>
                <w:szCs w:val="21"/>
                <w:highlight w:val="none"/>
              </w:rPr>
              <w:t>不规则类型</w:t>
            </w:r>
          </w:p>
        </w:tc>
        <w:tc>
          <w:tcPr>
            <w:tcW w:w="5202" w:type="dxa"/>
            <w:shd w:val="clear" w:color="auto" w:fill="9FD3A4"/>
            <w:vAlign w:val="center"/>
          </w:tcPr>
          <w:p>
            <w:pPr>
              <w:autoSpaceDE w:val="0"/>
              <w:autoSpaceDN w:val="0"/>
              <w:adjustRightInd w:val="0"/>
              <w:snapToGrid w:val="0"/>
              <w:spacing w:line="288" w:lineRule="auto"/>
              <w:jc w:val="center"/>
              <w:rPr>
                <w:rFonts w:hint="default" w:ascii="Times New Roman" w:hAnsi="Times New Roman" w:cs="Times New Roman"/>
                <w:bCs/>
                <w:color w:val="auto"/>
                <w:szCs w:val="21"/>
                <w:highlight w:val="none"/>
              </w:rPr>
            </w:pPr>
            <w:r>
              <w:rPr>
                <w:rFonts w:hint="default" w:ascii="Times New Roman" w:hAnsi="Times New Roman" w:cs="Times New Roman"/>
                <w:color w:val="auto"/>
                <w:szCs w:val="21"/>
                <w:highlight w:val="none"/>
              </w:rPr>
              <w:t>定义和参考指标</w:t>
            </w:r>
          </w:p>
        </w:tc>
        <w:tc>
          <w:tcPr>
            <w:tcW w:w="1518" w:type="dxa"/>
            <w:shd w:val="clear" w:color="auto" w:fill="9FD3A4"/>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指标值</w:t>
            </w:r>
          </w:p>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02" w:type="dxa"/>
            <w:vAlign w:val="center"/>
          </w:tcPr>
          <w:p>
            <w:pPr>
              <w:autoSpaceDE w:val="0"/>
              <w:autoSpaceDN w:val="0"/>
              <w:adjustRightInd w:val="0"/>
              <w:snapToGrid w:val="0"/>
              <w:spacing w:line="288" w:lineRule="auto"/>
              <w:jc w:val="center"/>
              <w:rPr>
                <w:rFonts w:hint="default" w:ascii="Times New Roman" w:hAnsi="Times New Roman" w:cs="Times New Roman"/>
                <w:b/>
                <w:bCs/>
                <w:color w:val="auto"/>
                <w:szCs w:val="21"/>
                <w:highlight w:val="none"/>
              </w:rPr>
            </w:pPr>
            <w:r>
              <w:rPr>
                <w:rFonts w:hint="default" w:ascii="Times New Roman" w:hAnsi="Times New Roman" w:cs="Times New Roman"/>
                <w:color w:val="auto"/>
                <w:szCs w:val="21"/>
                <w:highlight w:val="none"/>
              </w:rPr>
              <w:t>扭转不规则</w:t>
            </w:r>
          </w:p>
        </w:tc>
        <w:tc>
          <w:tcPr>
            <w:tcW w:w="5202" w:type="dxa"/>
            <w:vAlign w:val="center"/>
          </w:tcPr>
          <w:p>
            <w:pPr>
              <w:autoSpaceDE w:val="0"/>
              <w:autoSpaceDN w:val="0"/>
              <w:adjustRightInd w:val="0"/>
              <w:snapToGrid w:val="0"/>
              <w:spacing w:line="288" w:lineRule="auto"/>
              <w:rPr>
                <w:rFonts w:hint="default" w:ascii="Times New Roman" w:hAnsi="Times New Roman" w:cs="Times New Roman"/>
                <w:b/>
                <w:bCs/>
                <w:color w:val="auto"/>
                <w:szCs w:val="21"/>
                <w:highlight w:val="none"/>
              </w:rPr>
            </w:pPr>
            <w:r>
              <w:rPr>
                <w:rFonts w:hint="default" w:ascii="Times New Roman" w:hAnsi="Times New Roman" w:cs="Times New Roman"/>
                <w:color w:val="auto"/>
                <w:szCs w:val="21"/>
                <w:highlight w:val="none"/>
              </w:rPr>
              <w:t>在规定的水平力作用下，楼层的最大弹性水平位移或(层间位移)，大于该楼层两端弹性水平位移(或层间位移)平均值的1.2倍</w:t>
            </w:r>
          </w:p>
        </w:tc>
        <w:tc>
          <w:tcPr>
            <w:tcW w:w="1518" w:type="dxa"/>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802" w:type="dxa"/>
            <w:vAlign w:val="center"/>
          </w:tcPr>
          <w:p>
            <w:pPr>
              <w:autoSpaceDE w:val="0"/>
              <w:autoSpaceDN w:val="0"/>
              <w:adjustRightInd w:val="0"/>
              <w:snapToGrid w:val="0"/>
              <w:spacing w:line="288" w:lineRule="auto"/>
              <w:jc w:val="center"/>
              <w:rPr>
                <w:rFonts w:hint="default" w:ascii="Times New Roman" w:hAnsi="Times New Roman" w:cs="Times New Roman"/>
                <w:b/>
                <w:bCs/>
                <w:color w:val="auto"/>
                <w:szCs w:val="21"/>
                <w:highlight w:val="none"/>
              </w:rPr>
            </w:pPr>
            <w:r>
              <w:rPr>
                <w:rFonts w:hint="default" w:ascii="Times New Roman" w:hAnsi="Times New Roman" w:cs="Times New Roman"/>
                <w:color w:val="auto"/>
                <w:szCs w:val="21"/>
                <w:highlight w:val="none"/>
              </w:rPr>
              <w:t>凹凸不规则</w:t>
            </w:r>
          </w:p>
        </w:tc>
        <w:tc>
          <w:tcPr>
            <w:tcW w:w="5202" w:type="dxa"/>
            <w:vAlign w:val="center"/>
          </w:tcPr>
          <w:p>
            <w:pPr>
              <w:autoSpaceDE w:val="0"/>
              <w:autoSpaceDN w:val="0"/>
              <w:adjustRightInd w:val="0"/>
              <w:snapToGrid w:val="0"/>
              <w:spacing w:line="288" w:lineRule="auto"/>
              <w:rPr>
                <w:rFonts w:hint="default" w:ascii="Times New Roman" w:hAnsi="Times New Roman" w:cs="Times New Roman"/>
                <w:b/>
                <w:bCs/>
                <w:color w:val="auto"/>
                <w:szCs w:val="21"/>
                <w:highlight w:val="none"/>
              </w:rPr>
            </w:pPr>
            <w:r>
              <w:rPr>
                <w:rFonts w:hint="default" w:ascii="Times New Roman" w:hAnsi="Times New Roman" w:cs="Times New Roman"/>
                <w:color w:val="auto"/>
                <w:szCs w:val="21"/>
                <w:highlight w:val="none"/>
              </w:rPr>
              <w:t>平面凹进的尺寸，大于相应投影方向总尺寸的30%</w:t>
            </w:r>
          </w:p>
        </w:tc>
        <w:tc>
          <w:tcPr>
            <w:tcW w:w="1518" w:type="dxa"/>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02" w:type="dxa"/>
            <w:vAlign w:val="center"/>
          </w:tcPr>
          <w:p>
            <w:pPr>
              <w:autoSpaceDE w:val="0"/>
              <w:autoSpaceDN w:val="0"/>
              <w:adjustRightInd w:val="0"/>
              <w:snapToGrid w:val="0"/>
              <w:spacing w:line="288" w:lineRule="auto"/>
              <w:jc w:val="center"/>
              <w:rPr>
                <w:rFonts w:hint="default" w:ascii="Times New Roman" w:hAnsi="Times New Roman" w:cs="Times New Roman"/>
                <w:b/>
                <w:bCs/>
                <w:color w:val="auto"/>
                <w:szCs w:val="21"/>
                <w:highlight w:val="none"/>
              </w:rPr>
            </w:pPr>
            <w:r>
              <w:rPr>
                <w:rFonts w:hint="default" w:ascii="Times New Roman" w:hAnsi="Times New Roman" w:cs="Times New Roman"/>
                <w:color w:val="auto"/>
                <w:szCs w:val="21"/>
                <w:highlight w:val="none"/>
              </w:rPr>
              <w:t>楼板局部不连续</w:t>
            </w:r>
          </w:p>
        </w:tc>
        <w:tc>
          <w:tcPr>
            <w:tcW w:w="5202" w:type="dxa"/>
            <w:vAlign w:val="center"/>
          </w:tcPr>
          <w:p>
            <w:pPr>
              <w:autoSpaceDE w:val="0"/>
              <w:autoSpaceDN w:val="0"/>
              <w:adjustRightInd w:val="0"/>
              <w:snapToGrid w:val="0"/>
              <w:spacing w:line="288" w:lineRule="auto"/>
              <w:rPr>
                <w:rFonts w:hint="default" w:ascii="Times New Roman" w:hAnsi="Times New Roman" w:cs="Times New Roman"/>
                <w:b/>
                <w:bCs/>
                <w:color w:val="auto"/>
                <w:szCs w:val="21"/>
                <w:highlight w:val="none"/>
              </w:rPr>
            </w:pPr>
            <w:r>
              <w:rPr>
                <w:rFonts w:hint="default" w:ascii="Times New Roman" w:hAnsi="Times New Roman" w:cs="Times New Roman"/>
                <w:color w:val="auto"/>
                <w:szCs w:val="21"/>
                <w:highlight w:val="none"/>
              </w:rPr>
              <w:t>楼板的尺寸和平面刚度急剧变化，例如，有效楼板宽度小于该层楼板典型宽度的50%，或开洞面积大于该层楼面面积的30%，或较大的楼层错层</w:t>
            </w:r>
          </w:p>
        </w:tc>
        <w:tc>
          <w:tcPr>
            <w:tcW w:w="1518" w:type="dxa"/>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bl>
    <w:p>
      <w:pPr>
        <w:spacing w:line="360" w:lineRule="auto"/>
        <w:ind w:firstLine="480" w:firstLineChars="200"/>
        <w:rPr>
          <w:rFonts w:hint="default" w:ascii="Times New Roman" w:hAnsi="Times New Roman" w:cs="Times New Roman"/>
          <w:color w:val="auto"/>
          <w:sz w:val="24"/>
          <w:szCs w:val="24"/>
          <w:highlight w:val="none"/>
        </w:rPr>
      </w:pP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竖向不规则的主要类型判定：</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8"/>
        <w:gridCol w:w="5187"/>
        <w:gridCol w:w="15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1808" w:type="dxa"/>
            <w:shd w:val="clear" w:color="auto" w:fill="9FD3A4"/>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不规则类型</w:t>
            </w:r>
          </w:p>
        </w:tc>
        <w:tc>
          <w:tcPr>
            <w:tcW w:w="5187" w:type="dxa"/>
            <w:shd w:val="clear" w:color="auto" w:fill="9FD3A4"/>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定义和参考指标</w:t>
            </w:r>
          </w:p>
        </w:tc>
        <w:tc>
          <w:tcPr>
            <w:tcW w:w="1527" w:type="dxa"/>
            <w:shd w:val="clear" w:color="auto" w:fill="9FD3A4"/>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指标值</w:t>
            </w:r>
          </w:p>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2" w:hRule="atLeast"/>
          <w:jc w:val="center"/>
        </w:trPr>
        <w:tc>
          <w:tcPr>
            <w:tcW w:w="1808" w:type="dxa"/>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侧向刚度不规则</w:t>
            </w:r>
          </w:p>
        </w:tc>
        <w:tc>
          <w:tcPr>
            <w:tcW w:w="5187"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该层的侧向刚度小于相邻上一层的70%，或小于其上相邻三个楼层侧向刚度平均值的80%；除顶层或出屋面小建筑外，局部收进的水平向尺寸大于相邻下一层的25％</w:t>
            </w:r>
          </w:p>
        </w:tc>
        <w:tc>
          <w:tcPr>
            <w:tcW w:w="1527" w:type="dxa"/>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w:t>
            </w: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808" w:type="dxa"/>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竖向抗侧力构件不连续</w:t>
            </w:r>
          </w:p>
        </w:tc>
        <w:tc>
          <w:tcPr>
            <w:tcW w:w="5187"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竖向抗侧力构件(柱、抗震墙、抗震支撑)的内力由水平转换构件(梁、桁架等)向下传递</w:t>
            </w:r>
          </w:p>
        </w:tc>
        <w:tc>
          <w:tcPr>
            <w:tcW w:w="1527" w:type="dxa"/>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jc w:val="center"/>
        </w:trPr>
        <w:tc>
          <w:tcPr>
            <w:tcW w:w="1808" w:type="dxa"/>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楼层承载力突变</w:t>
            </w:r>
          </w:p>
        </w:tc>
        <w:tc>
          <w:tcPr>
            <w:tcW w:w="5187"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抗侧力结构的层间受剪承载力小于相邻上一楼层的80%</w:t>
            </w:r>
          </w:p>
        </w:tc>
        <w:tc>
          <w:tcPr>
            <w:tcW w:w="1527" w:type="dxa"/>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bl>
    <w:p>
      <w:pPr>
        <w:spacing w:line="360" w:lineRule="auto"/>
        <w:rPr>
          <w:rFonts w:hint="default" w:ascii="Times New Roman" w:hAnsi="Times New Roman" w:cs="Times New Roman"/>
          <w:color w:val="auto"/>
          <w:sz w:val="24"/>
          <w:szCs w:val="24"/>
          <w:highlight w:val="none"/>
        </w:rPr>
      </w:pP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4"/>
        <w:gridCol w:w="5372"/>
        <w:gridCol w:w="15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结构优化设计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76" w:type="dxa"/>
            <w:gridSpan w:val="2"/>
            <w:shd w:val="clear" w:color="auto" w:fill="9FD3A4"/>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529" w:type="dxa"/>
            <w:shd w:val="clear" w:color="auto" w:fill="9FD3A4"/>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restart"/>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结构体系优化设计</w:t>
            </w: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根据受力特点选择材料用量较少的结构体系</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continue"/>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不采用因建筑形体不规则而形成的超限结构</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continue"/>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在高层和大跨度结构中，优先采用钢结构、钢与混凝土混合结构、预应力结构等结构体系</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continue"/>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采用符合工业化建造要求的结构体系与建筑构件</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□是</w:t>
            </w: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continue"/>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采用基于性能的抗震设计并合理提高建筑的抗震性能</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□是</w:t>
            </w: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restart"/>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地基基础优化设计</w:t>
            </w: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地基基础设计结合建筑所在地实际情况、上部结构特点及使用要求，综合考虑施工条件、场地环境和工程造价等因素，优先采用环境影响小、质量有保证、施工可实现、节约材料的基础形式</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continue"/>
          </w:tcPr>
          <w:p>
            <w:pPr>
              <w:autoSpaceDE w:val="0"/>
              <w:autoSpaceDN w:val="0"/>
              <w:adjustRightInd w:val="0"/>
              <w:snapToGrid w:val="0"/>
              <w:spacing w:line="288" w:lineRule="auto"/>
              <w:rPr>
                <w:rFonts w:hint="default" w:ascii="Times New Roman" w:hAnsi="Times New Roman" w:cs="Times New Roman"/>
                <w:color w:val="auto"/>
                <w:szCs w:val="21"/>
                <w:highlight w:val="none"/>
              </w:rPr>
            </w:pP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高层建筑考虑地基基础与上部结构的共同作用，进行协同设计</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continue"/>
          </w:tcPr>
          <w:p>
            <w:pPr>
              <w:autoSpaceDE w:val="0"/>
              <w:autoSpaceDN w:val="0"/>
              <w:adjustRightInd w:val="0"/>
              <w:snapToGrid w:val="0"/>
              <w:spacing w:line="288" w:lineRule="auto"/>
              <w:rPr>
                <w:rFonts w:hint="default" w:ascii="Times New Roman" w:hAnsi="Times New Roman" w:cs="Times New Roman"/>
                <w:color w:val="auto"/>
                <w:szCs w:val="21"/>
                <w:highlight w:val="none"/>
              </w:rPr>
            </w:pP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桩基础沉降控制时，考虑承台、桩与土的协同作用</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continue"/>
          </w:tcPr>
          <w:p>
            <w:pPr>
              <w:autoSpaceDE w:val="0"/>
              <w:autoSpaceDN w:val="0"/>
              <w:adjustRightInd w:val="0"/>
              <w:snapToGrid w:val="0"/>
              <w:spacing w:line="288" w:lineRule="auto"/>
              <w:rPr>
                <w:rFonts w:hint="default" w:ascii="Times New Roman" w:hAnsi="Times New Roman" w:cs="Times New Roman"/>
                <w:color w:val="auto"/>
                <w:szCs w:val="21"/>
                <w:highlight w:val="none"/>
              </w:rPr>
            </w:pP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筏板基础根据桩、土协同计算结果进行优化设计</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continue"/>
          </w:tcPr>
          <w:p>
            <w:pPr>
              <w:autoSpaceDE w:val="0"/>
              <w:autoSpaceDN w:val="0"/>
              <w:adjustRightInd w:val="0"/>
              <w:snapToGrid w:val="0"/>
              <w:spacing w:line="288" w:lineRule="auto"/>
              <w:rPr>
                <w:rFonts w:hint="default" w:ascii="Times New Roman" w:hAnsi="Times New Roman" w:cs="Times New Roman"/>
                <w:color w:val="auto"/>
                <w:szCs w:val="21"/>
                <w:highlight w:val="none"/>
              </w:rPr>
            </w:pP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场地土条件及周边环境合适时，桩基优先采用预制桩，钻孔灌注桩通过采用后注浆技术提高桩基承载力</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continue"/>
          </w:tcPr>
          <w:p>
            <w:pPr>
              <w:autoSpaceDE w:val="0"/>
              <w:autoSpaceDN w:val="0"/>
              <w:adjustRightInd w:val="0"/>
              <w:snapToGrid w:val="0"/>
              <w:spacing w:line="288" w:lineRule="auto"/>
              <w:rPr>
                <w:rFonts w:hint="default" w:ascii="Times New Roman" w:hAnsi="Times New Roman" w:cs="Times New Roman"/>
                <w:color w:val="auto"/>
                <w:szCs w:val="21"/>
                <w:highlight w:val="none"/>
              </w:rPr>
            </w:pP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通过先期试桩确定单桩承载力特征值</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continue"/>
          </w:tcPr>
          <w:p>
            <w:pPr>
              <w:autoSpaceDE w:val="0"/>
              <w:autoSpaceDN w:val="0"/>
              <w:adjustRightInd w:val="0"/>
              <w:snapToGrid w:val="0"/>
              <w:spacing w:line="288" w:lineRule="auto"/>
              <w:rPr>
                <w:rFonts w:hint="default" w:ascii="Times New Roman" w:hAnsi="Times New Roman" w:cs="Times New Roman"/>
                <w:color w:val="auto"/>
                <w:szCs w:val="21"/>
                <w:highlight w:val="none"/>
              </w:rPr>
            </w:pP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对于抗压设计为主的基础，当建筑设置地下室时合理考虑地下水的有利作用</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restart"/>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结构布置及构件截面优化设计</w:t>
            </w: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高层结构的竖向构件和大跨度结构的水平构件进行截面优化设计</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continue"/>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大跨度混凝土楼盖结构合理采用预应力楼盖及现浇混凝土空心楼板等技术</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□是</w:t>
            </w: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continue"/>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由强度控制的钢结构构件优先选用高强钢材，由刚度控制的钢结构优先调整构件布置和构件截面</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continue"/>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采用钢结构楼盖时，合理采用组合梁设计</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□是</w:t>
            </w: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continue"/>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建筑结构与建筑设备管线分离布置</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restart"/>
            <w:vAlign w:val="center"/>
          </w:tcPr>
          <w:p>
            <w:pPr>
              <w:autoSpaceDE w:val="0"/>
              <w:autoSpaceDN w:val="0"/>
              <w:adjustRightInd w:val="0"/>
              <w:snapToGrid w:val="0"/>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结构材料与构件优化设计</w:t>
            </w: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钢结构现场连接、拼接节点采用螺栓连接等非现场焊接的节点形式</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□是</w:t>
            </w: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4" w:type="dxa"/>
            <w:vMerge w:val="continue"/>
          </w:tcPr>
          <w:p>
            <w:pPr>
              <w:autoSpaceDE w:val="0"/>
              <w:autoSpaceDN w:val="0"/>
              <w:adjustRightInd w:val="0"/>
              <w:snapToGrid w:val="0"/>
              <w:spacing w:line="288" w:lineRule="auto"/>
              <w:rPr>
                <w:rFonts w:hint="default" w:ascii="Times New Roman" w:hAnsi="Times New Roman" w:cs="Times New Roman"/>
                <w:color w:val="auto"/>
                <w:szCs w:val="21"/>
                <w:highlight w:val="none"/>
              </w:rPr>
            </w:pPr>
          </w:p>
        </w:tc>
        <w:tc>
          <w:tcPr>
            <w:tcW w:w="5372" w:type="dxa"/>
            <w:vAlign w:val="center"/>
          </w:tcPr>
          <w:p>
            <w:pPr>
              <w:autoSpaceDE w:val="0"/>
              <w:autoSpaceDN w:val="0"/>
              <w:adjustRightInd w:val="0"/>
              <w:snapToGrid w:val="0"/>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钢结构施工时，采用免支撑的楼屋面板</w:t>
            </w:r>
          </w:p>
        </w:tc>
        <w:tc>
          <w:tcPr>
            <w:tcW w:w="15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□是</w:t>
            </w: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否</w:t>
            </w:r>
          </w:p>
        </w:tc>
      </w:tr>
    </w:tbl>
    <w:p>
      <w:pPr>
        <w:spacing w:line="360" w:lineRule="auto"/>
        <w:rPr>
          <w:rFonts w:hint="default" w:ascii="Times New Roman" w:hAnsi="Times New Roman" w:cs="Times New Roman"/>
          <w:color w:val="auto"/>
          <w:sz w:val="24"/>
          <w:szCs w:val="24"/>
          <w:highlight w:val="none"/>
        </w:rPr>
      </w:pPr>
    </w:p>
    <w:p>
      <w:pPr>
        <w:rPr>
          <w:rFonts w:hint="default" w:ascii="Times New Roman" w:hAnsi="Times New Roman" w:cs="Times New Roman"/>
          <w:color w:val="auto"/>
          <w:highlight w:val="none"/>
        </w:rPr>
      </w:pPr>
      <w:bookmarkStart w:id="99" w:name="_Toc30515"/>
      <w:r>
        <w:rPr>
          <w:rFonts w:hint="default" w:ascii="Times New Roman" w:hAnsi="Times New Roman" w:cs="Times New Roman"/>
          <w:color w:val="auto"/>
          <w:highlight w:val="none"/>
        </w:rPr>
        <w:br w:type="page"/>
      </w:r>
    </w:p>
    <w:p>
      <w:pPr>
        <w:pStyle w:val="3"/>
        <w:numPr>
          <w:ilvl w:val="0"/>
          <w:numId w:val="10"/>
        </w:numPr>
        <w:spacing w:after="156"/>
        <w:rPr>
          <w:rFonts w:hint="default" w:ascii="Times New Roman" w:hAnsi="Times New Roman" w:cs="Times New Roman"/>
          <w:color w:val="auto"/>
          <w:highlight w:val="none"/>
        </w:rPr>
      </w:pPr>
      <w:bookmarkStart w:id="100" w:name="_Toc124520256"/>
      <w:r>
        <w:rPr>
          <w:rFonts w:hint="default" w:ascii="Times New Roman" w:hAnsi="Times New Roman" w:cs="Times New Roman"/>
          <w:color w:val="auto"/>
          <w:highlight w:val="none"/>
        </w:rPr>
        <w:t>建筑材料</w:t>
      </w:r>
      <w:bookmarkEnd w:id="99"/>
      <w:bookmarkEnd w:id="100"/>
    </w:p>
    <w:p>
      <w:pPr>
        <w:pStyle w:val="4"/>
        <w:numPr>
          <w:ilvl w:val="0"/>
          <w:numId w:val="11"/>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材料耐久性</w:t>
      </w:r>
    </w:p>
    <w:p>
      <w:pPr>
        <w:spacing w:line="360" w:lineRule="auto"/>
        <w:ind w:firstLine="480" w:firstLineChars="200"/>
        <w:rPr>
          <w:rFonts w:hint="default" w:ascii="Times New Roman" w:hAnsi="Times New Roman" w:cs="Times New Roman"/>
          <w:color w:val="auto"/>
          <w:sz w:val="24"/>
          <w:szCs w:val="24"/>
          <w:highlight w:val="none"/>
          <w:u w:val="single"/>
        </w:rPr>
      </w:pPr>
      <w:r>
        <w:rPr>
          <w:rFonts w:hint="default" w:ascii="Times New Roman" w:hAnsi="Times New Roman" w:cs="Times New Roman"/>
          <w:color w:val="auto"/>
          <w:sz w:val="24"/>
          <w:szCs w:val="24"/>
          <w:highlight w:val="none"/>
        </w:rPr>
        <w:t>建筑结构设计年限（年）：</w:t>
      </w:r>
      <w:r>
        <w:rPr>
          <w:rFonts w:hint="default" w:ascii="Times New Roman" w:hAnsi="Times New Roman" w:cs="Times New Roman"/>
          <w:color w:val="auto"/>
          <w:sz w:val="24"/>
          <w:szCs w:val="24"/>
          <w:highlight w:val="none"/>
          <w:u w:val="single"/>
        </w:rPr>
        <w:t>50</w:t>
      </w:r>
    </w:p>
    <w:p>
      <w:pPr>
        <w:spacing w:line="360" w:lineRule="auto"/>
        <w:ind w:firstLine="480" w:firstLineChars="200"/>
        <w:rPr>
          <w:rFonts w:hint="default" w:ascii="Times New Roman" w:hAnsi="Times New Roman" w:cs="Times New Roman"/>
          <w:color w:val="auto"/>
          <w:sz w:val="24"/>
          <w:szCs w:val="24"/>
          <w:highlight w:val="none"/>
          <w:u w:val="single"/>
        </w:rPr>
      </w:pPr>
      <w:r>
        <w:rPr>
          <w:rFonts w:hint="default" w:ascii="Times New Roman" w:hAnsi="Times New Roman" w:cs="Times New Roman"/>
          <w:color w:val="auto"/>
          <w:sz w:val="24"/>
          <w:szCs w:val="24"/>
          <w:highlight w:val="none"/>
        </w:rPr>
        <w:t>建筑结构材料：</w:t>
      </w:r>
      <w:r>
        <w:rPr>
          <w:rFonts w:hint="default" w:ascii="Times New Roman" w:hAnsi="Times New Roman" w:cs="Times New Roman"/>
          <w:color w:val="auto"/>
          <w:kern w:val="0"/>
          <w:szCs w:val="21"/>
          <w:highlight w:val="none"/>
        </w:rPr>
        <w:t>■</w:t>
      </w:r>
      <w:r>
        <w:rPr>
          <w:rFonts w:hint="default" w:ascii="Times New Roman" w:hAnsi="Times New Roman" w:cs="Times New Roman"/>
          <w:color w:val="auto"/>
          <w:sz w:val="24"/>
          <w:szCs w:val="24"/>
          <w:highlight w:val="none"/>
        </w:rPr>
        <w:t>混凝土□钢□木</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钢筋保护层厚度（mm）：</w:t>
      </w:r>
      <w:r>
        <w:rPr>
          <w:rFonts w:hint="default" w:ascii="Times New Roman" w:hAnsi="Times New Roman" w:cs="Times New Roman"/>
          <w:color w:val="auto"/>
          <w:sz w:val="24"/>
          <w:szCs w:val="24"/>
          <w:highlight w:val="none"/>
          <w:u w:val="single"/>
        </w:rPr>
        <w:t>50</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21"/>
        <w:gridCol w:w="14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2"/>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耐久性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21" w:type="dxa"/>
            <w:shd w:val="clear" w:color="auto" w:fill="9FD3A4"/>
          </w:tcPr>
          <w:p>
            <w:pPr>
              <w:spacing w:line="360" w:lineRule="auto"/>
              <w:jc w:val="center"/>
              <w:rPr>
                <w:rFonts w:hint="default" w:ascii="Times New Roman" w:hAnsi="Times New Roman" w:cs="Times New Roman"/>
                <w:b/>
                <w:color w:val="auto"/>
                <w:kern w:val="0"/>
                <w:szCs w:val="21"/>
                <w:highlight w:val="none"/>
              </w:rPr>
            </w:pPr>
            <w:r>
              <w:rPr>
                <w:rFonts w:hint="default" w:ascii="Times New Roman" w:hAnsi="Times New Roman" w:cs="Times New Roman"/>
                <w:color w:val="auto"/>
                <w:kern w:val="0"/>
                <w:szCs w:val="21"/>
                <w:highlight w:val="none"/>
              </w:rPr>
              <w:t>措施分项</w:t>
            </w:r>
          </w:p>
        </w:tc>
        <w:tc>
          <w:tcPr>
            <w:tcW w:w="1484" w:type="dxa"/>
            <w:shd w:val="clear" w:color="auto" w:fill="9FD3A4"/>
            <w:vAlign w:val="center"/>
          </w:tcPr>
          <w:p>
            <w:pPr>
              <w:spacing w:line="360" w:lineRule="auto"/>
              <w:jc w:val="center"/>
              <w:rPr>
                <w:rFonts w:hint="default" w:ascii="Times New Roman" w:hAnsi="Times New Roman" w:cs="Times New Roman"/>
                <w:b/>
                <w:color w:val="auto"/>
                <w:kern w:val="0"/>
                <w:szCs w:val="21"/>
                <w:highlight w:val="none"/>
              </w:rPr>
            </w:pPr>
            <w:r>
              <w:rPr>
                <w:rFonts w:hint="default" w:ascii="Times New Roman" w:hAnsi="Times New Roman" w:cs="Times New Roman"/>
                <w:color w:val="auto"/>
                <w:kern w:val="0"/>
                <w:szCs w:val="21"/>
                <w:highlight w:val="none"/>
              </w:rPr>
              <w:t>采纳情况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21"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是否采用高耐久混凝土</w:t>
            </w:r>
          </w:p>
        </w:tc>
        <w:tc>
          <w:tcPr>
            <w:tcW w:w="148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21"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是否采用耐候结构钢和耐候性防腐涂料</w:t>
            </w:r>
          </w:p>
        </w:tc>
        <w:tc>
          <w:tcPr>
            <w:tcW w:w="148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21"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是否采用耐久木制品</w:t>
            </w:r>
          </w:p>
        </w:tc>
        <w:tc>
          <w:tcPr>
            <w:tcW w:w="148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bl>
    <w:p>
      <w:pPr>
        <w:spacing w:line="360" w:lineRule="auto"/>
        <w:rPr>
          <w:rFonts w:hint="default" w:ascii="Times New Roman" w:hAnsi="Times New Roman" w:cs="Times New Roman"/>
          <w:color w:val="auto"/>
          <w:sz w:val="24"/>
          <w:szCs w:val="24"/>
          <w:highlight w:val="none"/>
        </w:rPr>
      </w:pPr>
    </w:p>
    <w:p>
      <w:pPr>
        <w:pStyle w:val="4"/>
        <w:numPr>
          <w:ilvl w:val="0"/>
          <w:numId w:val="11"/>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建材与构件</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8"/>
        <w:gridCol w:w="4797"/>
        <w:gridCol w:w="1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建材与构件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结构类型</w:t>
            </w:r>
          </w:p>
        </w:tc>
        <w:tc>
          <w:tcPr>
            <w:tcW w:w="4797"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项目</w:t>
            </w:r>
          </w:p>
        </w:tc>
        <w:tc>
          <w:tcPr>
            <w:tcW w:w="1870"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混凝土结构</w:t>
            </w:r>
          </w:p>
        </w:tc>
        <w:tc>
          <w:tcPr>
            <w:tcW w:w="4797"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zh-CN"/>
              </w:rPr>
              <w:t>主体结构400Mpa级及以上受力普通钢筋用量</w:t>
            </w:r>
            <w:r>
              <w:rPr>
                <w:rFonts w:hint="default" w:ascii="Times New Roman" w:hAnsi="Times New Roman" w:cs="Times New Roman"/>
                <w:color w:val="auto"/>
                <w:kern w:val="0"/>
                <w:szCs w:val="21"/>
                <w:highlight w:val="none"/>
              </w:rPr>
              <w:t>（t）</w:t>
            </w:r>
          </w:p>
        </w:tc>
        <w:tc>
          <w:tcPr>
            <w:tcW w:w="187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4797"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zh-CN"/>
              </w:rPr>
              <w:t>钢筋总用量</w:t>
            </w:r>
            <w:r>
              <w:rPr>
                <w:rFonts w:hint="default" w:ascii="Times New Roman" w:hAnsi="Times New Roman" w:cs="Times New Roman"/>
                <w:color w:val="auto"/>
                <w:kern w:val="0"/>
                <w:szCs w:val="21"/>
                <w:highlight w:val="none"/>
              </w:rPr>
              <w:t>（t）</w:t>
            </w:r>
          </w:p>
        </w:tc>
        <w:tc>
          <w:tcPr>
            <w:tcW w:w="187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4797"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zh-CN"/>
              </w:rPr>
              <w:t>400MPa级及以上受力普通钢筋用量的比例</w:t>
            </w:r>
            <w:r>
              <w:rPr>
                <w:rFonts w:hint="default" w:ascii="Times New Roman" w:hAnsi="Times New Roman" w:cs="Times New Roman"/>
                <w:color w:val="auto"/>
                <w:kern w:val="0"/>
                <w:szCs w:val="21"/>
                <w:highlight w:val="none"/>
              </w:rPr>
              <w:t>（%）</w:t>
            </w:r>
          </w:p>
        </w:tc>
        <w:tc>
          <w:tcPr>
            <w:tcW w:w="187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4797"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zh-CN"/>
              </w:rPr>
              <w:t>混凝土承重结构中采用强度等级在C50（或以上）混凝土用量（方）</w:t>
            </w:r>
          </w:p>
        </w:tc>
        <w:tc>
          <w:tcPr>
            <w:tcW w:w="187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4797"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zh-CN"/>
              </w:rPr>
              <w:t>承重结构中混凝土总用量（方）</w:t>
            </w:r>
          </w:p>
        </w:tc>
        <w:tc>
          <w:tcPr>
            <w:tcW w:w="187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4797"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zh-CN"/>
              </w:rPr>
              <w:t>强度等级在C50（或以上）混凝土占承重结构中混凝土总量的比例</w:t>
            </w:r>
            <w:r>
              <w:rPr>
                <w:rFonts w:hint="default" w:ascii="Times New Roman" w:hAnsi="Times New Roman" w:cs="Times New Roman"/>
                <w:color w:val="auto"/>
                <w:kern w:val="0"/>
                <w:szCs w:val="21"/>
                <w:highlight w:val="none"/>
              </w:rPr>
              <w:t>（%）</w:t>
            </w:r>
          </w:p>
        </w:tc>
        <w:tc>
          <w:tcPr>
            <w:tcW w:w="187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钢结构</w:t>
            </w:r>
          </w:p>
        </w:tc>
        <w:tc>
          <w:tcPr>
            <w:tcW w:w="4797"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zh-CN"/>
              </w:rPr>
              <w:t>Q355及以上高强钢材用量</w:t>
            </w:r>
            <w:r>
              <w:rPr>
                <w:rFonts w:hint="default" w:ascii="Times New Roman" w:hAnsi="Times New Roman" w:cs="Times New Roman"/>
                <w:color w:val="auto"/>
                <w:kern w:val="0"/>
                <w:szCs w:val="21"/>
                <w:highlight w:val="none"/>
              </w:rPr>
              <w:t>（t）</w:t>
            </w:r>
          </w:p>
        </w:tc>
        <w:tc>
          <w:tcPr>
            <w:tcW w:w="187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spacing w:line="360" w:lineRule="auto"/>
              <w:rPr>
                <w:rFonts w:hint="default" w:ascii="Times New Roman" w:hAnsi="Times New Roman" w:cs="Times New Roman"/>
                <w:color w:val="auto"/>
                <w:kern w:val="0"/>
                <w:szCs w:val="21"/>
                <w:highlight w:val="none"/>
              </w:rPr>
            </w:pPr>
          </w:p>
        </w:tc>
        <w:tc>
          <w:tcPr>
            <w:tcW w:w="4797"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zh-CN"/>
              </w:rPr>
              <w:t>钢材总用量</w:t>
            </w:r>
            <w:r>
              <w:rPr>
                <w:rFonts w:hint="default" w:ascii="Times New Roman" w:hAnsi="Times New Roman" w:cs="Times New Roman"/>
                <w:color w:val="auto"/>
                <w:kern w:val="0"/>
                <w:szCs w:val="21"/>
                <w:highlight w:val="none"/>
              </w:rPr>
              <w:t>（t）</w:t>
            </w:r>
          </w:p>
        </w:tc>
        <w:tc>
          <w:tcPr>
            <w:tcW w:w="187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spacing w:line="360" w:lineRule="auto"/>
              <w:rPr>
                <w:rFonts w:hint="default" w:ascii="Times New Roman" w:hAnsi="Times New Roman" w:cs="Times New Roman"/>
                <w:color w:val="auto"/>
                <w:kern w:val="0"/>
                <w:szCs w:val="21"/>
                <w:highlight w:val="none"/>
              </w:rPr>
            </w:pPr>
          </w:p>
        </w:tc>
        <w:tc>
          <w:tcPr>
            <w:tcW w:w="4797"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zh-CN"/>
              </w:rPr>
              <w:t>Q355及以上高强钢材用量的比例</w:t>
            </w:r>
            <w:r>
              <w:rPr>
                <w:rFonts w:hint="default" w:ascii="Times New Roman" w:hAnsi="Times New Roman" w:cs="Times New Roman"/>
                <w:color w:val="auto"/>
                <w:kern w:val="0"/>
                <w:szCs w:val="21"/>
                <w:highlight w:val="none"/>
              </w:rPr>
              <w:t>（%）</w:t>
            </w:r>
          </w:p>
        </w:tc>
        <w:tc>
          <w:tcPr>
            <w:tcW w:w="187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spacing w:line="360" w:lineRule="auto"/>
              <w:rPr>
                <w:rFonts w:hint="default" w:ascii="Times New Roman" w:hAnsi="Times New Roman" w:cs="Times New Roman"/>
                <w:color w:val="auto"/>
                <w:kern w:val="0"/>
                <w:szCs w:val="21"/>
                <w:highlight w:val="none"/>
              </w:rPr>
            </w:pPr>
          </w:p>
        </w:tc>
        <w:tc>
          <w:tcPr>
            <w:tcW w:w="4797"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螺栓连接等非现场焊接节点占现场全部连接、拼接节点的数量比例（%）</w:t>
            </w:r>
          </w:p>
        </w:tc>
        <w:tc>
          <w:tcPr>
            <w:tcW w:w="187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spacing w:line="360" w:lineRule="auto"/>
              <w:rPr>
                <w:rFonts w:hint="default" w:ascii="Times New Roman" w:hAnsi="Times New Roman" w:cs="Times New Roman"/>
                <w:color w:val="auto"/>
                <w:kern w:val="0"/>
                <w:szCs w:val="21"/>
                <w:highlight w:val="none"/>
              </w:rPr>
            </w:pPr>
          </w:p>
        </w:tc>
        <w:tc>
          <w:tcPr>
            <w:tcW w:w="4797"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是否采用施工时免支撑的楼层面板</w:t>
            </w:r>
          </w:p>
        </w:tc>
        <w:tc>
          <w:tcPr>
            <w:tcW w:w="187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混凝土结构中梁、柱、剪力墙等构件的受力普通钢筋应采用不低于400MPa级的热轧带肋钢筋；钢筋混凝土结构或混合结构中混凝土部分，400MPa级及以上受力普通钢筋占受力普通钢筋总量的比例不应小于85%；高层钢结构或高层混合结构中钢结构部分，Q355及以上高强钢材用量占钢材总量的比例不应小于50%（三星级要求不应小于70%）。</w:t>
            </w:r>
          </w:p>
        </w:tc>
      </w:tr>
    </w:tbl>
    <w:p>
      <w:pPr>
        <w:spacing w:line="360" w:lineRule="auto"/>
        <w:ind w:firstLine="1200" w:firstLineChars="500"/>
        <w:rPr>
          <w:rFonts w:hint="default" w:ascii="Times New Roman" w:hAnsi="Times New Roman" w:cs="Times New Roman"/>
          <w:color w:val="auto"/>
          <w:sz w:val="24"/>
          <w:szCs w:val="24"/>
          <w:highlight w:val="none"/>
        </w:rPr>
      </w:pPr>
    </w:p>
    <w:p>
      <w:pPr>
        <w:pStyle w:val="4"/>
        <w:numPr>
          <w:ilvl w:val="0"/>
          <w:numId w:val="11"/>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工业化内装部品比例</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3"/>
        <w:gridCol w:w="2127"/>
        <w:gridCol w:w="1984"/>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工业化内装部品比例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部品</w:t>
            </w:r>
          </w:p>
        </w:tc>
        <w:tc>
          <w:tcPr>
            <w:tcW w:w="212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用量</w:t>
            </w:r>
          </w:p>
        </w:tc>
        <w:tc>
          <w:tcPr>
            <w:tcW w:w="198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同类部品用量</w:t>
            </w:r>
          </w:p>
        </w:tc>
        <w:tc>
          <w:tcPr>
            <w:tcW w:w="213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所占比例（%）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整体卫浴</w:t>
            </w:r>
          </w:p>
        </w:tc>
        <w:tc>
          <w:tcPr>
            <w:tcW w:w="212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98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3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整体厨房</w:t>
            </w:r>
          </w:p>
        </w:tc>
        <w:tc>
          <w:tcPr>
            <w:tcW w:w="212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98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3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装配式吊顶</w:t>
            </w:r>
          </w:p>
        </w:tc>
        <w:tc>
          <w:tcPr>
            <w:tcW w:w="212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98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3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干式工法地面</w:t>
            </w:r>
          </w:p>
        </w:tc>
        <w:tc>
          <w:tcPr>
            <w:tcW w:w="212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98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3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装配式内墙</w:t>
            </w:r>
          </w:p>
        </w:tc>
        <w:tc>
          <w:tcPr>
            <w:tcW w:w="212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984"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3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27" w:type="dxa"/>
          </w:tcPr>
          <w:p>
            <w:pPr>
              <w:spacing w:line="360" w:lineRule="auto"/>
              <w:jc w:val="center"/>
              <w:rPr>
                <w:rFonts w:hint="default" w:ascii="Times New Roman" w:hAnsi="Times New Roman" w:cs="Times New Roman"/>
                <w:color w:val="auto"/>
                <w:kern w:val="0"/>
                <w:szCs w:val="21"/>
                <w:highlight w:val="none"/>
              </w:rPr>
            </w:pPr>
          </w:p>
        </w:tc>
        <w:tc>
          <w:tcPr>
            <w:tcW w:w="1984" w:type="dxa"/>
          </w:tcPr>
          <w:p>
            <w:pPr>
              <w:spacing w:line="360" w:lineRule="auto"/>
              <w:jc w:val="center"/>
              <w:rPr>
                <w:rFonts w:hint="default" w:ascii="Times New Roman" w:hAnsi="Times New Roman" w:cs="Times New Roman"/>
                <w:color w:val="auto"/>
                <w:kern w:val="0"/>
                <w:szCs w:val="21"/>
                <w:highlight w:val="none"/>
              </w:rPr>
            </w:pPr>
          </w:p>
        </w:tc>
        <w:tc>
          <w:tcPr>
            <w:tcW w:w="2131" w:type="dxa"/>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注：三星级要求，建筑设计应采用装配式建筑和装配化装修；建筑装修设计应至少选用3种新型建筑工业化内装部品，其占同类部品用量比例达到50%。</w:t>
            </w:r>
          </w:p>
        </w:tc>
      </w:tr>
    </w:tbl>
    <w:p>
      <w:pPr>
        <w:spacing w:line="360" w:lineRule="auto"/>
        <w:ind w:firstLine="480" w:firstLineChars="200"/>
        <w:rPr>
          <w:rFonts w:hint="default" w:ascii="Times New Roman" w:hAnsi="Times New Roman" w:cs="Times New Roman"/>
          <w:color w:val="auto"/>
          <w:sz w:val="24"/>
          <w:szCs w:val="24"/>
          <w:highlight w:val="none"/>
          <w:u w:val="single"/>
        </w:rPr>
      </w:pP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4"/>
        <w:numPr>
          <w:ilvl w:val="0"/>
          <w:numId w:val="11"/>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可再循环材料、可再利用建筑材料</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4"/>
        <w:gridCol w:w="1136"/>
        <w:gridCol w:w="1617"/>
        <w:gridCol w:w="1512"/>
        <w:gridCol w:w="1429"/>
        <w:gridCol w:w="14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6"/>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可再循环材料、可再利用建筑材料用量比例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0" w:type="dxa"/>
            <w:gridSpan w:val="2"/>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材料种类</w:t>
            </w:r>
          </w:p>
        </w:tc>
        <w:tc>
          <w:tcPr>
            <w:tcW w:w="1617"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使用部位</w:t>
            </w:r>
          </w:p>
        </w:tc>
        <w:tc>
          <w:tcPr>
            <w:tcW w:w="151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体积（m³）</w:t>
            </w:r>
          </w:p>
        </w:tc>
        <w:tc>
          <w:tcPr>
            <w:tcW w:w="14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密度（kg/m³）</w:t>
            </w:r>
          </w:p>
        </w:tc>
        <w:tc>
          <w:tcPr>
            <w:tcW w:w="1447"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重量（t）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4"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可再循环材料、可再利用建筑材料</w:t>
            </w:r>
          </w:p>
        </w:tc>
        <w:tc>
          <w:tcPr>
            <w:tcW w:w="113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钢材</w:t>
            </w:r>
          </w:p>
        </w:tc>
        <w:tc>
          <w:tcPr>
            <w:tcW w:w="161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主体结构</w:t>
            </w:r>
          </w:p>
        </w:tc>
        <w:tc>
          <w:tcPr>
            <w:tcW w:w="1512"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c>
          <w:tcPr>
            <w:tcW w:w="1429"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c>
          <w:tcPr>
            <w:tcW w:w="1447"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4"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13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钢管</w:t>
            </w:r>
          </w:p>
        </w:tc>
        <w:tc>
          <w:tcPr>
            <w:tcW w:w="161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扶手、脚手架</w:t>
            </w:r>
          </w:p>
        </w:tc>
        <w:tc>
          <w:tcPr>
            <w:tcW w:w="1512"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c>
          <w:tcPr>
            <w:tcW w:w="1429"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c>
          <w:tcPr>
            <w:tcW w:w="1447"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4"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13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铜</w:t>
            </w:r>
          </w:p>
        </w:tc>
        <w:tc>
          <w:tcPr>
            <w:tcW w:w="161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铜芯、防护条</w:t>
            </w:r>
          </w:p>
        </w:tc>
        <w:tc>
          <w:tcPr>
            <w:tcW w:w="1512"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c>
          <w:tcPr>
            <w:tcW w:w="1429"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c>
          <w:tcPr>
            <w:tcW w:w="1447"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4"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13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木材</w:t>
            </w:r>
          </w:p>
        </w:tc>
        <w:tc>
          <w:tcPr>
            <w:tcW w:w="161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硬木扶手带栏杆、栏板，防火木门</w:t>
            </w:r>
          </w:p>
        </w:tc>
        <w:tc>
          <w:tcPr>
            <w:tcW w:w="1512"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c>
          <w:tcPr>
            <w:tcW w:w="1429"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c>
          <w:tcPr>
            <w:tcW w:w="1447"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4"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13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铝合金型材</w:t>
            </w:r>
          </w:p>
        </w:tc>
        <w:tc>
          <w:tcPr>
            <w:tcW w:w="161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铝合金百叶、门窗</w:t>
            </w:r>
          </w:p>
        </w:tc>
        <w:tc>
          <w:tcPr>
            <w:tcW w:w="1512"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c>
          <w:tcPr>
            <w:tcW w:w="1429"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c>
          <w:tcPr>
            <w:tcW w:w="1447"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4"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13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石膏制品</w:t>
            </w:r>
          </w:p>
        </w:tc>
        <w:tc>
          <w:tcPr>
            <w:tcW w:w="161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512"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c>
          <w:tcPr>
            <w:tcW w:w="1429"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c>
          <w:tcPr>
            <w:tcW w:w="1447"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4"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136" w:type="dxa"/>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玻璃（含铝合金里面）</w:t>
            </w:r>
          </w:p>
        </w:tc>
        <w:tc>
          <w:tcPr>
            <w:tcW w:w="161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512"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c>
          <w:tcPr>
            <w:tcW w:w="1429"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c>
          <w:tcPr>
            <w:tcW w:w="1447" w:type="dxa"/>
            <w:vAlign w:val="top"/>
          </w:tcPr>
          <w:p>
            <w:pPr>
              <w:spacing w:line="360" w:lineRule="auto"/>
              <w:jc w:val="center"/>
              <w:rPr>
                <w:rFonts w:hint="default" w:ascii="Times New Roman" w:hAnsi="Times New Roman" w:cs="Times New Roman" w:eastAsiaTheme="minorEastAsia"/>
                <w:color w:val="auto"/>
                <w:highlight w:val="none"/>
                <w:lang w:val="en-US" w:eastAsia="zh-CN"/>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4"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136" w:type="dxa"/>
          </w:tcPr>
          <w:p>
            <w:pPr>
              <w:spacing w:line="360" w:lineRule="auto"/>
              <w:jc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highlight w:val="none"/>
              </w:rPr>
              <w:t>玻璃幕墙</w:t>
            </w:r>
          </w:p>
        </w:tc>
        <w:tc>
          <w:tcPr>
            <w:tcW w:w="161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512" w:type="dxa"/>
          </w:tcPr>
          <w:p>
            <w:pPr>
              <w:spacing w:line="360" w:lineRule="auto"/>
              <w:jc w:val="center"/>
              <w:rPr>
                <w:rFonts w:hint="default" w:ascii="Times New Roman" w:hAnsi="Times New Roman" w:cs="Times New Roman" w:eastAsiaTheme="minorEastAsia"/>
                <w:color w:val="auto"/>
                <w:highlight w:val="none"/>
              </w:rPr>
            </w:pPr>
            <w:r>
              <w:rPr>
                <w:rFonts w:hint="default" w:ascii="Times New Roman" w:hAnsi="Times New Roman" w:cs="Times New Roman" w:eastAsiaTheme="minorEastAsia"/>
                <w:color w:val="auto"/>
                <w:highlight w:val="none"/>
              </w:rPr>
              <w:t>/</w:t>
            </w:r>
          </w:p>
        </w:tc>
        <w:tc>
          <w:tcPr>
            <w:tcW w:w="1429" w:type="dxa"/>
          </w:tcPr>
          <w:p>
            <w:pPr>
              <w:spacing w:line="360" w:lineRule="auto"/>
              <w:jc w:val="center"/>
              <w:rPr>
                <w:rFonts w:hint="default" w:ascii="Times New Roman" w:hAnsi="Times New Roman" w:cs="Times New Roman" w:eastAsiaTheme="minorEastAsia"/>
                <w:color w:val="auto"/>
                <w:highlight w:val="none"/>
              </w:rPr>
            </w:pPr>
            <w:r>
              <w:rPr>
                <w:rFonts w:hint="default" w:ascii="Times New Roman" w:hAnsi="Times New Roman" w:cs="Times New Roman" w:eastAsiaTheme="minorEastAsia"/>
                <w:color w:val="auto"/>
                <w:highlight w:val="none"/>
              </w:rPr>
              <w:t>/</w:t>
            </w:r>
          </w:p>
        </w:tc>
        <w:tc>
          <w:tcPr>
            <w:tcW w:w="1447" w:type="dxa"/>
          </w:tcPr>
          <w:p>
            <w:pPr>
              <w:spacing w:line="360" w:lineRule="auto"/>
              <w:jc w:val="center"/>
              <w:rPr>
                <w:rFonts w:hint="default" w:ascii="Times New Roman" w:hAnsi="Times New Roman" w:cs="Times New Roman" w:eastAsiaTheme="minorEastAsia"/>
                <w:color w:val="auto"/>
                <w:highlight w:val="none"/>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4"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其他材料</w:t>
            </w:r>
          </w:p>
        </w:tc>
        <w:tc>
          <w:tcPr>
            <w:tcW w:w="113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混凝土</w:t>
            </w:r>
          </w:p>
        </w:tc>
        <w:tc>
          <w:tcPr>
            <w:tcW w:w="161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主体结构</w:t>
            </w:r>
          </w:p>
        </w:tc>
        <w:tc>
          <w:tcPr>
            <w:tcW w:w="1512" w:type="dxa"/>
            <w:vAlign w:val="top"/>
          </w:tcPr>
          <w:p>
            <w:pPr>
              <w:spacing w:line="360" w:lineRule="auto"/>
              <w:jc w:val="center"/>
              <w:rPr>
                <w:rFonts w:hint="default" w:ascii="Times New Roman" w:hAnsi="Times New Roman" w:eastAsia="宋体" w:cs="Times New Roman"/>
                <w:i w:val="0"/>
                <w:iCs w:val="0"/>
                <w:color w:val="auto"/>
                <w:kern w:val="2"/>
                <w:sz w:val="22"/>
                <w:szCs w:val="22"/>
                <w:highlight w:val="none"/>
                <w:u w:val="none"/>
                <w:lang w:val="en-US" w:eastAsia="zh-CN" w:bidi="ar-SA"/>
              </w:rPr>
            </w:pPr>
            <w:r>
              <w:rPr>
                <w:rFonts w:hint="default" w:ascii="Times New Roman" w:hAnsi="Times New Roman" w:cs="Times New Roman" w:eastAsiaTheme="minorEastAsia"/>
                <w:color w:val="auto"/>
                <w:highlight w:val="none"/>
              </w:rPr>
              <w:t>/</w:t>
            </w:r>
          </w:p>
        </w:tc>
        <w:tc>
          <w:tcPr>
            <w:tcW w:w="1429" w:type="dxa"/>
            <w:vAlign w:val="top"/>
          </w:tcPr>
          <w:p>
            <w:pPr>
              <w:spacing w:line="360"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447" w:type="dxa"/>
            <w:vAlign w:val="top"/>
          </w:tcPr>
          <w:p>
            <w:pPr>
              <w:spacing w:line="360"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4" w:type="dxa"/>
            <w:vMerge w:val="continue"/>
          </w:tcPr>
          <w:p>
            <w:pPr>
              <w:spacing w:line="360" w:lineRule="auto"/>
              <w:jc w:val="center"/>
              <w:rPr>
                <w:rFonts w:hint="default" w:ascii="Times New Roman" w:hAnsi="Times New Roman" w:cs="Times New Roman"/>
                <w:color w:val="auto"/>
                <w:kern w:val="0"/>
                <w:szCs w:val="21"/>
                <w:highlight w:val="none"/>
              </w:rPr>
            </w:pPr>
          </w:p>
        </w:tc>
        <w:tc>
          <w:tcPr>
            <w:tcW w:w="113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建筑砂浆</w:t>
            </w:r>
          </w:p>
        </w:tc>
        <w:tc>
          <w:tcPr>
            <w:tcW w:w="161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主体结构、内外墙抹灰</w:t>
            </w:r>
          </w:p>
        </w:tc>
        <w:tc>
          <w:tcPr>
            <w:tcW w:w="1512" w:type="dxa"/>
            <w:vAlign w:val="top"/>
          </w:tcPr>
          <w:p>
            <w:pPr>
              <w:spacing w:line="360" w:lineRule="auto"/>
              <w:jc w:val="center"/>
              <w:rPr>
                <w:rFonts w:hint="default" w:ascii="Times New Roman" w:hAnsi="Times New Roman" w:eastAsia="宋体" w:cs="Times New Roman"/>
                <w:i w:val="0"/>
                <w:iCs w:val="0"/>
                <w:color w:val="auto"/>
                <w:kern w:val="2"/>
                <w:sz w:val="22"/>
                <w:szCs w:val="22"/>
                <w:highlight w:val="none"/>
                <w:u w:val="none"/>
                <w:lang w:val="en-US" w:eastAsia="zh-CN" w:bidi="ar-SA"/>
              </w:rPr>
            </w:pPr>
            <w:r>
              <w:rPr>
                <w:rFonts w:hint="default" w:ascii="Times New Roman" w:hAnsi="Times New Roman" w:cs="Times New Roman" w:eastAsiaTheme="minorEastAsia"/>
                <w:color w:val="auto"/>
                <w:highlight w:val="none"/>
              </w:rPr>
              <w:t>/</w:t>
            </w:r>
          </w:p>
        </w:tc>
        <w:tc>
          <w:tcPr>
            <w:tcW w:w="1429" w:type="dxa"/>
            <w:vAlign w:val="top"/>
          </w:tcPr>
          <w:p>
            <w:pPr>
              <w:spacing w:line="360"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447" w:type="dxa"/>
            <w:vAlign w:val="top"/>
          </w:tcPr>
          <w:p>
            <w:pPr>
              <w:spacing w:line="360"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4" w:type="dxa"/>
            <w:vMerge w:val="continue"/>
          </w:tcPr>
          <w:p>
            <w:pPr>
              <w:spacing w:line="360" w:lineRule="auto"/>
              <w:jc w:val="center"/>
              <w:rPr>
                <w:rFonts w:hint="default" w:ascii="Times New Roman" w:hAnsi="Times New Roman" w:cs="Times New Roman"/>
                <w:color w:val="auto"/>
                <w:kern w:val="0"/>
                <w:szCs w:val="21"/>
                <w:highlight w:val="none"/>
              </w:rPr>
            </w:pPr>
          </w:p>
        </w:tc>
        <w:tc>
          <w:tcPr>
            <w:tcW w:w="113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涂料</w:t>
            </w:r>
          </w:p>
        </w:tc>
        <w:tc>
          <w:tcPr>
            <w:tcW w:w="161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内外墙、地砖</w:t>
            </w:r>
          </w:p>
        </w:tc>
        <w:tc>
          <w:tcPr>
            <w:tcW w:w="1512" w:type="dxa"/>
            <w:vAlign w:val="top"/>
          </w:tcPr>
          <w:p>
            <w:pPr>
              <w:spacing w:line="360"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429" w:type="dxa"/>
            <w:vAlign w:val="top"/>
          </w:tcPr>
          <w:p>
            <w:pPr>
              <w:spacing w:line="360"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447" w:type="dxa"/>
            <w:vAlign w:val="top"/>
          </w:tcPr>
          <w:p>
            <w:pPr>
              <w:spacing w:line="360"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4" w:type="dxa"/>
            <w:vMerge w:val="continue"/>
          </w:tcPr>
          <w:p>
            <w:pPr>
              <w:spacing w:line="360" w:lineRule="auto"/>
              <w:jc w:val="center"/>
              <w:rPr>
                <w:rFonts w:hint="default" w:ascii="Times New Roman" w:hAnsi="Times New Roman" w:cs="Times New Roman"/>
                <w:color w:val="auto"/>
                <w:kern w:val="0"/>
                <w:szCs w:val="21"/>
                <w:highlight w:val="none"/>
              </w:rPr>
            </w:pPr>
          </w:p>
        </w:tc>
        <w:tc>
          <w:tcPr>
            <w:tcW w:w="113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屋面卷材</w:t>
            </w:r>
          </w:p>
        </w:tc>
        <w:tc>
          <w:tcPr>
            <w:tcW w:w="161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屋面防水层</w:t>
            </w:r>
          </w:p>
        </w:tc>
        <w:tc>
          <w:tcPr>
            <w:tcW w:w="1512" w:type="dxa"/>
            <w:vAlign w:val="top"/>
          </w:tcPr>
          <w:p>
            <w:pPr>
              <w:spacing w:line="360"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429" w:type="dxa"/>
            <w:vAlign w:val="top"/>
          </w:tcPr>
          <w:p>
            <w:pPr>
              <w:spacing w:line="360"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447" w:type="dxa"/>
            <w:vAlign w:val="top"/>
          </w:tcPr>
          <w:p>
            <w:pPr>
              <w:spacing w:line="360"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4" w:type="dxa"/>
            <w:vMerge w:val="continue"/>
          </w:tcPr>
          <w:p>
            <w:pPr>
              <w:spacing w:line="360" w:lineRule="auto"/>
              <w:jc w:val="center"/>
              <w:rPr>
                <w:rFonts w:hint="default" w:ascii="Times New Roman" w:hAnsi="Times New Roman" w:cs="Times New Roman"/>
                <w:color w:val="auto"/>
                <w:kern w:val="0"/>
                <w:szCs w:val="21"/>
                <w:highlight w:val="none"/>
              </w:rPr>
            </w:pPr>
          </w:p>
        </w:tc>
        <w:tc>
          <w:tcPr>
            <w:tcW w:w="113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石材</w:t>
            </w:r>
          </w:p>
        </w:tc>
        <w:tc>
          <w:tcPr>
            <w:tcW w:w="161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地面</w:t>
            </w:r>
          </w:p>
        </w:tc>
        <w:tc>
          <w:tcPr>
            <w:tcW w:w="1512" w:type="dxa"/>
            <w:vAlign w:val="top"/>
          </w:tcPr>
          <w:p>
            <w:pPr>
              <w:spacing w:line="360"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429" w:type="dxa"/>
            <w:vAlign w:val="top"/>
          </w:tcPr>
          <w:p>
            <w:pPr>
              <w:spacing w:line="360"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447" w:type="dxa"/>
            <w:vAlign w:val="top"/>
          </w:tcPr>
          <w:p>
            <w:pPr>
              <w:spacing w:line="360"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4" w:type="dxa"/>
            <w:vMerge w:val="continue"/>
          </w:tcPr>
          <w:p>
            <w:pPr>
              <w:spacing w:line="360" w:lineRule="auto"/>
              <w:jc w:val="center"/>
              <w:rPr>
                <w:rFonts w:hint="default" w:ascii="Times New Roman" w:hAnsi="Times New Roman" w:cs="Times New Roman"/>
                <w:color w:val="auto"/>
                <w:kern w:val="0"/>
                <w:szCs w:val="21"/>
                <w:highlight w:val="none"/>
              </w:rPr>
            </w:pPr>
          </w:p>
        </w:tc>
        <w:tc>
          <w:tcPr>
            <w:tcW w:w="113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砌块</w:t>
            </w:r>
          </w:p>
        </w:tc>
        <w:tc>
          <w:tcPr>
            <w:tcW w:w="1617"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主体结构</w:t>
            </w:r>
          </w:p>
        </w:tc>
        <w:tc>
          <w:tcPr>
            <w:tcW w:w="1512" w:type="dxa"/>
            <w:vAlign w:val="top"/>
          </w:tcPr>
          <w:p>
            <w:pPr>
              <w:spacing w:line="360" w:lineRule="auto"/>
              <w:jc w:val="center"/>
              <w:rPr>
                <w:rFonts w:hint="default" w:ascii="Times New Roman" w:hAnsi="Times New Roman" w:eastAsia="宋体" w:cs="Times New Roman"/>
                <w:i w:val="0"/>
                <w:iCs w:val="0"/>
                <w:color w:val="auto"/>
                <w:kern w:val="2"/>
                <w:sz w:val="22"/>
                <w:szCs w:val="22"/>
                <w:highlight w:val="none"/>
                <w:u w:val="none"/>
                <w:lang w:val="en-US" w:eastAsia="zh-CN" w:bidi="ar-SA"/>
              </w:rPr>
            </w:pPr>
            <w:r>
              <w:rPr>
                <w:rFonts w:hint="default" w:ascii="Times New Roman" w:hAnsi="Times New Roman" w:cs="Times New Roman" w:eastAsiaTheme="minorEastAsia"/>
                <w:color w:val="auto"/>
                <w:highlight w:val="none"/>
              </w:rPr>
              <w:t>/</w:t>
            </w:r>
          </w:p>
        </w:tc>
        <w:tc>
          <w:tcPr>
            <w:tcW w:w="1429" w:type="dxa"/>
            <w:vAlign w:val="top"/>
          </w:tcPr>
          <w:p>
            <w:pPr>
              <w:spacing w:line="360"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447" w:type="dxa"/>
            <w:vAlign w:val="top"/>
          </w:tcPr>
          <w:p>
            <w:pPr>
              <w:spacing w:line="360"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58" w:type="dxa"/>
            <w:gridSpan w:val="5"/>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可再循环材料、可再利用建筑材料总重量（t）</w:t>
            </w:r>
          </w:p>
        </w:tc>
        <w:tc>
          <w:tcPr>
            <w:tcW w:w="1447" w:type="dxa"/>
            <w:vAlign w:val="top"/>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58" w:type="dxa"/>
            <w:gridSpan w:val="5"/>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建筑材料总重量（t）</w:t>
            </w:r>
          </w:p>
        </w:tc>
        <w:tc>
          <w:tcPr>
            <w:tcW w:w="1447" w:type="dxa"/>
            <w:vAlign w:val="top"/>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58" w:type="dxa"/>
            <w:gridSpan w:val="5"/>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可再循环材料、可再利用建筑材料用量比例（%）</w:t>
            </w:r>
          </w:p>
        </w:tc>
        <w:tc>
          <w:tcPr>
            <w:tcW w:w="1447" w:type="dxa"/>
            <w:vAlign w:val="top"/>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6"/>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注：可再循环材料、可再利用建筑材料的用量比例在公共建筑中不应低于10%。各类材料用量主要查阅工程概预算材料清单，在施工图报审时，尚无相关资料的，可参考相似工程填写用量比例，并做说明。</w:t>
            </w:r>
          </w:p>
        </w:tc>
      </w:tr>
    </w:tbl>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4"/>
        <w:numPr>
          <w:ilvl w:val="0"/>
          <w:numId w:val="11"/>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以各种废弃物为原料生产的建筑材料</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采用一种利废建材，其占同类建材的用量比例不低于50%：□是■否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选用两种及以上的利废建材，每一种占同类建材的用量比例均不低于30%：□是■否</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9"/>
        <w:gridCol w:w="1129"/>
        <w:gridCol w:w="1512"/>
        <w:gridCol w:w="1383"/>
        <w:gridCol w:w="1953"/>
        <w:gridCol w:w="13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6"/>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以各种废弃物为原料生产的建筑材料用量比例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材料名称</w:t>
            </w:r>
          </w:p>
        </w:tc>
        <w:tc>
          <w:tcPr>
            <w:tcW w:w="112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使用部位</w:t>
            </w:r>
          </w:p>
        </w:tc>
        <w:tc>
          <w:tcPr>
            <w:tcW w:w="151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废弃物名称</w:t>
            </w:r>
          </w:p>
        </w:tc>
        <w:tc>
          <w:tcPr>
            <w:tcW w:w="138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用量（t）</w:t>
            </w:r>
          </w:p>
        </w:tc>
        <w:tc>
          <w:tcPr>
            <w:tcW w:w="195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同类建材用量（t）</w:t>
            </w:r>
          </w:p>
        </w:tc>
        <w:tc>
          <w:tcPr>
            <w:tcW w:w="139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占同类建材用量比例（%）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2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51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38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95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39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2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51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38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95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39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2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51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38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95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39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bl>
    <w:p>
      <w:pPr>
        <w:spacing w:line="360" w:lineRule="auto"/>
        <w:rPr>
          <w:rFonts w:hint="default" w:ascii="Times New Roman" w:hAnsi="Times New Roman" w:cs="Times New Roman"/>
          <w:color w:val="auto"/>
          <w:sz w:val="24"/>
          <w:szCs w:val="24"/>
          <w:highlight w:val="none"/>
        </w:rPr>
      </w:pPr>
    </w:p>
    <w:p>
      <w:pPr>
        <w:pStyle w:val="2"/>
        <w:numPr>
          <w:ilvl w:val="0"/>
          <w:numId w:val="1"/>
        </w:numPr>
        <w:spacing w:before="156" w:after="156"/>
        <w:rPr>
          <w:rFonts w:hint="default" w:ascii="Times New Roman" w:hAnsi="Times New Roman" w:cs="Times New Roman"/>
          <w:color w:val="auto"/>
          <w:highlight w:val="none"/>
        </w:rPr>
      </w:pPr>
      <w:bookmarkStart w:id="101" w:name="_Toc391477882"/>
      <w:bookmarkStart w:id="102" w:name="_Toc391469272"/>
      <w:bookmarkStart w:id="103" w:name="_Toc533426688"/>
      <w:bookmarkStart w:id="104" w:name="_Toc384284847"/>
      <w:r>
        <w:rPr>
          <w:rFonts w:hint="default" w:ascii="Times New Roman" w:hAnsi="Times New Roman" w:cs="Times New Roman"/>
          <w:color w:val="auto"/>
          <w:highlight w:val="none"/>
        </w:rPr>
        <w:br w:type="page"/>
      </w:r>
      <w:bookmarkStart w:id="105" w:name="_Toc124520257"/>
      <w:bookmarkStart w:id="106" w:name="_Toc7892"/>
      <w:r>
        <w:rPr>
          <w:rFonts w:hint="default" w:ascii="Times New Roman" w:hAnsi="Times New Roman" w:cs="Times New Roman"/>
          <w:color w:val="auto"/>
          <w:highlight w:val="none"/>
        </w:rPr>
        <w:t>给排水设计</w:t>
      </w:r>
      <w:bookmarkEnd w:id="101"/>
      <w:bookmarkEnd w:id="102"/>
      <w:bookmarkEnd w:id="103"/>
      <w:bookmarkEnd w:id="104"/>
      <w:bookmarkEnd w:id="105"/>
      <w:bookmarkEnd w:id="106"/>
    </w:p>
    <w:p>
      <w:pPr>
        <w:pStyle w:val="3"/>
        <w:numPr>
          <w:ilvl w:val="0"/>
          <w:numId w:val="12"/>
        </w:numPr>
        <w:spacing w:after="156"/>
        <w:rPr>
          <w:rFonts w:hint="default" w:ascii="Times New Roman" w:hAnsi="Times New Roman" w:cs="Times New Roman"/>
          <w:color w:val="auto"/>
          <w:highlight w:val="none"/>
        </w:rPr>
      </w:pPr>
      <w:bookmarkStart w:id="107" w:name="_Toc124520258"/>
      <w:r>
        <w:rPr>
          <w:rFonts w:hint="default" w:ascii="Times New Roman" w:hAnsi="Times New Roman" w:cs="Times New Roman"/>
          <w:color w:val="auto"/>
          <w:highlight w:val="none"/>
        </w:rPr>
        <w:t>水资源利用方案</w:t>
      </w:r>
      <w:bookmarkEnd w:id="107"/>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是否有水资源利用方案：■是□否</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00"/>
        <w:gridCol w:w="14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05" w:type="dxa"/>
            <w:gridSpan w:val="2"/>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方案内容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00" w:type="dxa"/>
            <w:shd w:val="clear" w:color="auto" w:fill="9ED3A3"/>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内容</w:t>
            </w:r>
          </w:p>
        </w:tc>
        <w:tc>
          <w:tcPr>
            <w:tcW w:w="1405" w:type="dxa"/>
            <w:shd w:val="clear" w:color="auto" w:fill="9ED3A3"/>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包含情况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0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市政设施情况</w:t>
            </w:r>
          </w:p>
        </w:tc>
        <w:tc>
          <w:tcPr>
            <w:tcW w:w="140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0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用水定额的确定</w:t>
            </w:r>
          </w:p>
        </w:tc>
        <w:tc>
          <w:tcPr>
            <w:tcW w:w="140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0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用水量估算及水量平衡</w:t>
            </w:r>
          </w:p>
        </w:tc>
        <w:tc>
          <w:tcPr>
            <w:tcW w:w="140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0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给排水系统设计方案</w:t>
            </w:r>
          </w:p>
        </w:tc>
        <w:tc>
          <w:tcPr>
            <w:tcW w:w="140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0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节水器具</w:t>
            </w:r>
          </w:p>
        </w:tc>
        <w:tc>
          <w:tcPr>
            <w:tcW w:w="140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0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非传统水源利用</w:t>
            </w:r>
          </w:p>
        </w:tc>
        <w:tc>
          <w:tcPr>
            <w:tcW w:w="140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0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用水分项计量</w:t>
            </w:r>
          </w:p>
        </w:tc>
        <w:tc>
          <w:tcPr>
            <w:tcW w:w="140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注：详见水资源利用方案。</w:t>
            </w:r>
          </w:p>
        </w:tc>
      </w:tr>
    </w:tbl>
    <w:p>
      <w:pPr>
        <w:spacing w:line="360" w:lineRule="auto"/>
        <w:ind w:firstLine="480" w:firstLineChars="200"/>
        <w:rPr>
          <w:rFonts w:hint="default" w:ascii="Times New Roman" w:hAnsi="Times New Roman" w:cs="Times New Roman"/>
          <w:color w:val="auto"/>
          <w:sz w:val="24"/>
          <w:szCs w:val="24"/>
          <w:highlight w:val="none"/>
          <w:u w:val="single"/>
        </w:rPr>
      </w:pP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3"/>
        <w:numPr>
          <w:ilvl w:val="0"/>
          <w:numId w:val="12"/>
        </w:numPr>
        <w:spacing w:after="156"/>
        <w:rPr>
          <w:rFonts w:hint="default" w:ascii="Times New Roman" w:hAnsi="Times New Roman" w:cs="Times New Roman"/>
          <w:color w:val="auto"/>
          <w:highlight w:val="none"/>
        </w:rPr>
      </w:pPr>
      <w:bookmarkStart w:id="108" w:name="_Toc124520259"/>
      <w:r>
        <w:rPr>
          <w:rFonts w:hint="default" w:ascii="Times New Roman" w:hAnsi="Times New Roman" w:cs="Times New Roman"/>
          <w:color w:val="auto"/>
          <w:highlight w:val="none"/>
        </w:rPr>
        <w:t>系统设计</w:t>
      </w:r>
      <w:bookmarkEnd w:id="108"/>
    </w:p>
    <w:p>
      <w:pPr>
        <w:pStyle w:val="4"/>
        <w:numPr>
          <w:ilvl w:val="0"/>
          <w:numId w:val="13"/>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给排水系统设计</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给排水系统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按使用用途、付费或管理单元，分别设置用水计量装置</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restart"/>
            <w:vAlign w:val="center"/>
          </w:tcPr>
          <w:p>
            <w:pP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水施</w:t>
            </w:r>
            <w:r>
              <w:rPr>
                <w:rFonts w:hint="default" w:ascii="Times New Roman" w:hAnsi="Times New Roman" w:cs="Times New Roman"/>
                <w:color w:val="auto"/>
                <w:szCs w:val="21"/>
                <w:highlight w:val="none"/>
                <w:lang w:val="en-US" w:eastAsia="zh-CN"/>
              </w:rPr>
              <w:t>通</w:t>
            </w:r>
            <w:r>
              <w:rPr>
                <w:rFonts w:hint="default" w:ascii="Times New Roman" w:hAnsi="Times New Roman" w:cs="Times New Roman"/>
                <w:color w:val="auto"/>
                <w:szCs w:val="21"/>
                <w:highlight w:val="none"/>
              </w:rPr>
              <w:t>-01给排水设计总说明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根据水量平衡测试及管网漏损检测要求安装分级计量系统</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用水点处水压大于0.2MPa的配水支管设置减压设施，并满足给水配件最低工作压力的要求</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用水器具和设备满足节水产品的要求</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使用构造内自带水封的便器，且其水封深度不小于50mm</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restart"/>
            <w:vAlign w:val="center"/>
          </w:tcPr>
          <w:p>
            <w:pPr>
              <w:jc w:val="center"/>
              <w:rPr>
                <w:rFonts w:hint="default" w:ascii="Times New Roman" w:hAnsi="Times New Roman" w:eastAsia="宋体" w:cs="Times New Roman"/>
                <w:color w:val="auto"/>
                <w:szCs w:val="21"/>
                <w:highlight w:val="none"/>
                <w:lang w:eastAsia="zh-CN"/>
              </w:rPr>
            </w:pPr>
            <w:r>
              <w:rPr>
                <w:rFonts w:hint="default" w:ascii="Times New Roman" w:hAnsi="Times New Roman" w:cs="Times New Roman"/>
                <w:color w:val="auto"/>
                <w:szCs w:val="21"/>
                <w:highlight w:val="none"/>
                <w:lang w:eastAsia="zh-CN"/>
              </w:rPr>
              <w:t>水施通-01给排水设计总说明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管材、管道附件及设备等供水设施的选取和运行不对生活饮用水供水造成二次污染</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生活给水系统充分利用市政供水压力,且给水水压应稳定、可靠</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设置完善的污水收集、处理和排放等设施</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构造内无存水弯的卫生器具或无水封的地漏及其他设备或排水沟的排水口，与生活污水管道或其他可能产生有害气体的排水管道连接时，在排水口以下设存水弯</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采用二次加压供水时，生活饮用水水池、水箱等储水设施采用符合国家现行有关标准要求的成品水箱，且采取保证储水不变质的措施</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lang w:eastAsia="zh-CN"/>
              </w:rPr>
              <w:t>水施通-01给排水设计总说明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szCs w:val="21"/>
                <w:highlight w:val="none"/>
              </w:rPr>
            </w:pPr>
            <w:bookmarkStart w:id="109" w:name="_Hlk127376705"/>
            <w:r>
              <w:rPr>
                <w:rFonts w:hint="default" w:ascii="Times New Roman" w:hAnsi="Times New Roman" w:cs="Times New Roman"/>
                <w:color w:val="auto"/>
                <w:szCs w:val="21"/>
                <w:highlight w:val="none"/>
              </w:rPr>
              <w:t>给水泵的效率不低于现行国家标准《清水离心泵能效限定值及节能评价值》GB19762规定的节能评价值</w:t>
            </w:r>
            <w:bookmarkEnd w:id="109"/>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电施</w:t>
            </w:r>
            <w:r>
              <w:rPr>
                <w:rFonts w:hint="default" w:ascii="Times New Roman" w:hAnsi="Times New Roman" w:cs="Times New Roman"/>
                <w:color w:val="auto"/>
                <w:kern w:val="0"/>
                <w:szCs w:val="21"/>
                <w:highlight w:val="none"/>
                <w:lang w:val="en-US" w:eastAsia="zh-CN"/>
              </w:rPr>
              <w:t>通</w:t>
            </w:r>
            <w:r>
              <w:rPr>
                <w:rFonts w:hint="default" w:ascii="Times New Roman" w:hAnsi="Times New Roman" w:cs="Times New Roman"/>
                <w:color w:val="auto"/>
                <w:kern w:val="0"/>
                <w:szCs w:val="21"/>
                <w:highlight w:val="none"/>
              </w:rPr>
              <w:t>-0</w:t>
            </w:r>
            <w:r>
              <w:rPr>
                <w:rFonts w:hint="default" w:ascii="Times New Roman" w:hAnsi="Times New Roman" w:cs="Times New Roman"/>
                <w:color w:val="auto"/>
                <w:kern w:val="0"/>
                <w:szCs w:val="21"/>
                <w:highlight w:val="none"/>
              </w:rPr>
              <w:t>1</w:t>
            </w:r>
            <w:r>
              <w:rPr>
                <w:rFonts w:hint="default" w:ascii="Times New Roman" w:hAnsi="Times New Roman" w:cs="Times New Roman"/>
                <w:color w:val="auto"/>
                <w:kern w:val="0"/>
                <w:szCs w:val="21"/>
                <w:highlight w:val="none"/>
              </w:rPr>
              <w:t>强电设计说明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tcPr>
          <w:p>
            <w:pPr>
              <w:spacing w:line="360" w:lineRule="auto"/>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注：以上内容均应满足</w:t>
            </w:r>
          </w:p>
        </w:tc>
      </w:tr>
    </w:tbl>
    <w:p>
      <w:pPr>
        <w:spacing w:line="360" w:lineRule="auto"/>
        <w:ind w:left="420"/>
        <w:rPr>
          <w:rFonts w:hint="default" w:ascii="Times New Roman" w:hAnsi="Times New Roman" w:cs="Times New Roman"/>
          <w:color w:val="auto"/>
          <w:sz w:val="24"/>
          <w:highlight w:val="none"/>
        </w:rPr>
      </w:pP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4"/>
        <w:numPr>
          <w:ilvl w:val="0"/>
          <w:numId w:val="13"/>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热水设计</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5"/>
        <w:gridCol w:w="5003"/>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热水设计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gridSpan w:val="2"/>
            <w:shd w:val="clear" w:color="auto" w:fill="9FD3A4"/>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FD3A4"/>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FD3A4"/>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1035"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bCs/>
                <w:color w:val="auto"/>
                <w:kern w:val="0"/>
                <w:szCs w:val="21"/>
                <w:highlight w:val="none"/>
              </w:rPr>
              <w:t>集中生活热水系统</w:t>
            </w:r>
          </w:p>
        </w:tc>
        <w:tc>
          <w:tcPr>
            <w:tcW w:w="5003"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集中生活热水系统应设置供水循环，热水配水点保证出水温度不低于45℃的时间，公共建筑不大于10s；医院、疗养所等建筑的水加热设备出水温度低于60℃或其他建筑水加热设备出水温度低于55°C时，设灭菌消毒设施</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是</w:t>
            </w: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否</w:t>
            </w:r>
          </w:p>
        </w:tc>
        <w:tc>
          <w:tcPr>
            <w:tcW w:w="1173" w:type="dxa"/>
            <w:vMerge w:val="restart"/>
            <w:vAlign w:val="center"/>
          </w:tcPr>
          <w:p>
            <w:pPr>
              <w:spacing w:line="360" w:lineRule="auto"/>
              <w:jc w:val="center"/>
              <w:rPr>
                <w:rFonts w:hint="default" w:ascii="Times New Roman" w:hAnsi="Times New Roman" w:cs="Times New Roman" w:eastAsiaTheme="minorEastAsia"/>
                <w:color w:val="auto"/>
                <w:kern w:val="0"/>
                <w:szCs w:val="21"/>
                <w:highlight w:val="none"/>
                <w:lang w:eastAsia="zh-CN"/>
              </w:rPr>
            </w:pPr>
            <w:r>
              <w:rPr>
                <w:rFonts w:hint="default" w:ascii="Times New Roman" w:hAnsi="Times New Roman" w:cs="Times New Roman" w:eastAsiaTheme="minorEastAsia"/>
                <w:color w:val="auto"/>
                <w:kern w:val="0"/>
                <w:szCs w:val="21"/>
                <w:highlight w:val="none"/>
                <w:lang w:val="en-US" w:eastAsia="zh-CN"/>
              </w:rPr>
              <w:t>无热水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1035"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5003"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淋浴器设置恒温混水阀，公共浴室淋浴等集中热水供应系统采取节水措施</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是</w:t>
            </w: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1035"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冷、热水供水压力平衡</w:t>
            </w:r>
          </w:p>
        </w:tc>
        <w:tc>
          <w:tcPr>
            <w:tcW w:w="5003"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冷水、热水供应系统分区一致</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是</w:t>
            </w: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否</w:t>
            </w:r>
          </w:p>
        </w:tc>
        <w:tc>
          <w:tcPr>
            <w:tcW w:w="1173" w:type="dxa"/>
            <w:vMerge w:val="restart"/>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1035"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5003"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当冷、热水系统分区一致有困难时，采用配水支管设可调式减压阀减压等措施，保证系统冷、热水压力的平衡</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是</w:t>
            </w: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1035"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5003"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在用水点处设带调整压差功能的混合器、混合阀</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是</w:t>
            </w: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1035"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水加热设备</w:t>
            </w:r>
          </w:p>
        </w:tc>
        <w:tc>
          <w:tcPr>
            <w:tcW w:w="5003"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出水温度根据其贮热调节容积大小分别采用不同的温级精度要求的自动温度控制装置</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是</w:t>
            </w: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1035" w:type="dxa"/>
            <w:vMerge w:val="continue"/>
          </w:tcPr>
          <w:p>
            <w:pPr>
              <w:spacing w:line="360" w:lineRule="auto"/>
              <w:rPr>
                <w:rFonts w:hint="default" w:ascii="Times New Roman" w:hAnsi="Times New Roman" w:cs="Times New Roman"/>
                <w:color w:val="auto"/>
                <w:kern w:val="0"/>
                <w:szCs w:val="21"/>
                <w:highlight w:val="none"/>
              </w:rPr>
            </w:pPr>
          </w:p>
        </w:tc>
        <w:tc>
          <w:tcPr>
            <w:tcW w:w="5003"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当采用汽水换热的水加热设备时，在热媒管上增设切断汽源的电动阀</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是</w:t>
            </w: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1035" w:type="dxa"/>
            <w:vMerge w:val="continue"/>
          </w:tcPr>
          <w:p>
            <w:pPr>
              <w:spacing w:line="360" w:lineRule="auto"/>
              <w:rPr>
                <w:rFonts w:hint="default" w:ascii="Times New Roman" w:hAnsi="Times New Roman" w:cs="Times New Roman"/>
                <w:color w:val="auto"/>
                <w:kern w:val="0"/>
                <w:szCs w:val="21"/>
                <w:highlight w:val="none"/>
              </w:rPr>
            </w:pPr>
          </w:p>
        </w:tc>
        <w:tc>
          <w:tcPr>
            <w:tcW w:w="5003"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集中制备饮用热水的电开水炉具有根据温度、时间控制的功能。</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是</w:t>
            </w: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bl>
    <w:p>
      <w:pPr>
        <w:spacing w:line="360" w:lineRule="auto"/>
        <w:ind w:left="420"/>
        <w:rPr>
          <w:rFonts w:hint="default" w:ascii="Times New Roman" w:hAnsi="Times New Roman" w:cs="Times New Roman"/>
          <w:color w:val="auto"/>
          <w:sz w:val="24"/>
          <w:highlight w:val="none"/>
        </w:rPr>
      </w:pP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4"/>
        <w:numPr>
          <w:ilvl w:val="0"/>
          <w:numId w:val="13"/>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储水设施</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4"/>
        <w:gridCol w:w="4924"/>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储水设施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gridSpan w:val="2"/>
            <w:shd w:val="clear" w:color="auto" w:fill="9FD3A4"/>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FD3A4"/>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FD3A4"/>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6038"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是否使用成品水箱</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restart"/>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lang w:eastAsia="zh-CN"/>
              </w:rPr>
              <w:t>水施通-01给排水设计总说明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6038"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成品水箱是否符合国家现行有关标准</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1114" w:type="dxa"/>
            <w:vMerge w:val="restart"/>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bCs/>
                <w:color w:val="auto"/>
                <w:kern w:val="0"/>
                <w:szCs w:val="21"/>
                <w:highlight w:val="none"/>
              </w:rPr>
              <w:t>采取保证储水不变质的措施</w:t>
            </w:r>
          </w:p>
        </w:tc>
        <w:tc>
          <w:tcPr>
            <w:tcW w:w="4924"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储水设施分隔</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1114" w:type="dxa"/>
            <w:vMerge w:val="continue"/>
          </w:tcPr>
          <w:p>
            <w:pPr>
              <w:spacing w:line="360" w:lineRule="auto"/>
              <w:rPr>
                <w:rFonts w:hint="default" w:ascii="Times New Roman" w:hAnsi="Times New Roman" w:cs="Times New Roman"/>
                <w:color w:val="auto"/>
                <w:kern w:val="0"/>
                <w:szCs w:val="21"/>
                <w:highlight w:val="none"/>
              </w:rPr>
            </w:pPr>
          </w:p>
        </w:tc>
        <w:tc>
          <w:tcPr>
            <w:tcW w:w="4924"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形体选择及进出水管设置保证水流通畅，避免“死水区”</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1114" w:type="dxa"/>
            <w:vMerge w:val="continue"/>
          </w:tcPr>
          <w:p>
            <w:pPr>
              <w:spacing w:line="360" w:lineRule="auto"/>
              <w:rPr>
                <w:rFonts w:hint="default" w:ascii="Times New Roman" w:hAnsi="Times New Roman" w:cs="Times New Roman"/>
                <w:color w:val="auto"/>
                <w:kern w:val="0"/>
                <w:szCs w:val="21"/>
                <w:highlight w:val="none"/>
              </w:rPr>
            </w:pPr>
          </w:p>
        </w:tc>
        <w:tc>
          <w:tcPr>
            <w:tcW w:w="4924"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检查口（人孔）加锁，溢流管、通气管口采取防止生物进入的措施</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tcPr>
          <w:p>
            <w:pPr>
              <w:spacing w:line="360" w:lineRule="auto"/>
              <w:jc w:val="center"/>
              <w:rPr>
                <w:rFonts w:hint="default" w:ascii="Times New Roman" w:hAnsi="Times New Roman" w:cs="Times New Roman"/>
                <w:color w:val="auto"/>
                <w:kern w:val="0"/>
                <w:szCs w:val="21"/>
                <w:highlight w:val="none"/>
              </w:rPr>
            </w:pPr>
          </w:p>
        </w:tc>
      </w:tr>
    </w:tbl>
    <w:p>
      <w:pPr>
        <w:spacing w:line="360" w:lineRule="auto"/>
        <w:ind w:left="420"/>
        <w:rPr>
          <w:rFonts w:hint="default" w:ascii="Times New Roman" w:hAnsi="Times New Roman" w:cs="Times New Roman"/>
          <w:color w:val="auto"/>
          <w:sz w:val="24"/>
          <w:highlight w:val="none"/>
        </w:rPr>
      </w:pPr>
    </w:p>
    <w:p>
      <w:pPr>
        <w:pStyle w:val="4"/>
        <w:numPr>
          <w:ilvl w:val="0"/>
          <w:numId w:val="13"/>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管道、设备、设施</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40"/>
        <w:gridCol w:w="1309"/>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shd w:val="clear" w:color="auto" w:fill="9FD3A4"/>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09" w:type="dxa"/>
            <w:shd w:val="clear" w:color="auto" w:fill="9FD3A4"/>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FD3A4"/>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6040" w:type="dxa"/>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所有给水排水管道、设备、设施，设置明确、清晰的永久性标识，并符合下列要求：</w:t>
            </w:r>
          </w:p>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1）在管井、地下室、检查井等明露管道、检修节点设置管道标识，标识系统由名称、流向等组成；</w:t>
            </w:r>
          </w:p>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2）设置的标识字体、大小、颜色应方便辨识，且标识的材质应符合耐久性要求。</w:t>
            </w:r>
          </w:p>
        </w:tc>
        <w:tc>
          <w:tcPr>
            <w:tcW w:w="130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Align w:val="center"/>
          </w:tcPr>
          <w:p>
            <w:pPr>
              <w:jc w:val="center"/>
              <w:rPr>
                <w:rFonts w:hint="default" w:ascii="Times New Roman" w:hAnsi="Times New Roman" w:eastAsia="宋体" w:cs="Times New Roman"/>
                <w:color w:val="auto"/>
                <w:kern w:val="0"/>
                <w:szCs w:val="21"/>
                <w:highlight w:val="none"/>
                <w:lang w:eastAsia="zh-CN"/>
              </w:rPr>
            </w:pPr>
            <w:r>
              <w:rPr>
                <w:rFonts w:hint="default" w:ascii="Times New Roman" w:hAnsi="Times New Roman" w:cs="Times New Roman"/>
                <w:color w:val="auto"/>
                <w:kern w:val="0"/>
                <w:szCs w:val="21"/>
                <w:highlight w:val="none"/>
                <w:lang w:eastAsia="zh-CN"/>
              </w:rPr>
              <w:t>水施通-01给排水设计总说明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6040" w:type="dxa"/>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车库和道路冲洗采用节水高压水枪</w:t>
            </w:r>
          </w:p>
        </w:tc>
        <w:tc>
          <w:tcPr>
            <w:tcW w:w="1309"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bl>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3"/>
        <w:numPr>
          <w:ilvl w:val="0"/>
          <w:numId w:val="12"/>
        </w:numPr>
        <w:spacing w:after="156"/>
        <w:rPr>
          <w:rFonts w:hint="default" w:ascii="Times New Roman" w:hAnsi="Times New Roman" w:cs="Times New Roman"/>
          <w:color w:val="auto"/>
          <w:highlight w:val="none"/>
        </w:rPr>
      </w:pPr>
      <w:bookmarkStart w:id="110" w:name="_Toc124520260"/>
      <w:r>
        <w:rPr>
          <w:rFonts w:hint="default" w:ascii="Times New Roman" w:hAnsi="Times New Roman" w:cs="Times New Roman"/>
          <w:color w:val="auto"/>
          <w:highlight w:val="none"/>
        </w:rPr>
        <w:t>节水设计</w:t>
      </w:r>
      <w:bookmarkEnd w:id="110"/>
    </w:p>
    <w:p>
      <w:pPr>
        <w:pStyle w:val="4"/>
        <w:numPr>
          <w:ilvl w:val="0"/>
          <w:numId w:val="14"/>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避免管网漏损的措施</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szCs w:val="21"/>
                <w:highlight w:val="none"/>
              </w:rPr>
              <w:t>避免管网漏损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采用耐腐蚀、抗老化、耐久性能好的管材、管线、管件</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restart"/>
            <w:vAlign w:val="center"/>
          </w:tcPr>
          <w:p>
            <w:pPr>
              <w:jc w:val="center"/>
              <w:rPr>
                <w:rFonts w:hint="default" w:ascii="Times New Roman" w:hAnsi="Times New Roman" w:eastAsia="宋体" w:cs="Times New Roman"/>
                <w:color w:val="auto"/>
                <w:szCs w:val="21"/>
                <w:highlight w:val="none"/>
                <w:lang w:eastAsia="zh-CN"/>
              </w:rPr>
            </w:pPr>
            <w:r>
              <w:rPr>
                <w:rFonts w:hint="default" w:ascii="Times New Roman" w:hAnsi="Times New Roman" w:cs="Times New Roman"/>
                <w:color w:val="auto"/>
                <w:kern w:val="0"/>
                <w:szCs w:val="21"/>
                <w:highlight w:val="none"/>
                <w:lang w:eastAsia="zh-CN"/>
              </w:rPr>
              <w:t>水施通-01给排水设计总说明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室外埋地管道选择适宜的管道敷设及基础处理方式</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合理设计供水系统，避免供水压力过高或压力骤变</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设置水池、水箱溢流报警装置</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选用密闭性能好的高性能的阀门</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szCs w:val="21"/>
                <w:highlight w:val="none"/>
              </w:rPr>
            </w:pPr>
          </w:p>
        </w:tc>
      </w:tr>
    </w:tbl>
    <w:p>
      <w:pPr>
        <w:pStyle w:val="4"/>
        <w:numPr>
          <w:ilvl w:val="0"/>
          <w:numId w:val="14"/>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节水器具</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全部卫生器具的用水效率等级达到3级：□是□否</w:t>
      </w:r>
    </w:p>
    <w:p>
      <w:pPr>
        <w:spacing w:line="360" w:lineRule="auto"/>
        <w:ind w:firstLine="480" w:firstLineChars="200"/>
        <w:rPr>
          <w:rFonts w:hint="default" w:ascii="Times New Roman" w:hAnsi="Times New Roman" w:cs="Times New Roman"/>
          <w:color w:val="auto"/>
          <w:sz w:val="24"/>
          <w:szCs w:val="24"/>
          <w:highlight w:val="none"/>
        </w:rPr>
      </w:pPr>
      <w:bookmarkStart w:id="111" w:name="_Hlk113486014"/>
      <w:r>
        <w:rPr>
          <w:rFonts w:hint="default" w:ascii="Times New Roman" w:hAnsi="Times New Roman" w:cs="Times New Roman"/>
          <w:color w:val="auto"/>
          <w:sz w:val="24"/>
          <w:szCs w:val="24"/>
          <w:highlight w:val="none"/>
        </w:rPr>
        <w:t>全部卫生器具的用水效率等级达到2级</w:t>
      </w:r>
      <w:bookmarkEnd w:id="111"/>
      <w:r>
        <w:rPr>
          <w:rFonts w:hint="default" w:ascii="Times New Roman" w:hAnsi="Times New Roman" w:cs="Times New Roman"/>
          <w:color w:val="auto"/>
          <w:sz w:val="24"/>
          <w:szCs w:val="24"/>
          <w:highlight w:val="none"/>
        </w:rPr>
        <w:t>：■是□否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50%以上卫生器具的用水效率等级达到1级且其他达到2级：□是□否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全部卫生器具的用水效率等级达到1级：□是□否</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6"/>
        <w:gridCol w:w="2286"/>
        <w:gridCol w:w="1656"/>
        <w:gridCol w:w="1656"/>
        <w:gridCol w:w="16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90" w:type="dxa"/>
            <w:gridSpan w:val="5"/>
            <w:tcBorders>
              <w:top w:val="single" w:color="auto" w:sz="4" w:space="0"/>
              <w:left w:val="single" w:color="auto" w:sz="4" w:space="0"/>
              <w:bottom w:val="single" w:color="auto" w:sz="4" w:space="0"/>
              <w:right w:val="single" w:color="auto" w:sz="4" w:space="0"/>
            </w:tcBorders>
            <w:shd w:val="clear" w:color="auto" w:fill="9FD3A4"/>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节水器具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用水器具名称</w:t>
            </w:r>
          </w:p>
        </w:tc>
        <w:tc>
          <w:tcPr>
            <w:tcW w:w="228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用水器具数量</w:t>
            </w: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节水器具参数</w:t>
            </w: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节水器具数量</w:t>
            </w: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用水效率等级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水嘴</w:t>
            </w:r>
          </w:p>
        </w:tc>
        <w:tc>
          <w:tcPr>
            <w:tcW w:w="228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≤0</w:t>
            </w:r>
            <w:r>
              <w:rPr>
                <w:rFonts w:hint="default" w:ascii="Times New Roman" w:hAnsi="Times New Roman" w:cs="Times New Roman"/>
                <w:color w:val="auto"/>
                <w:szCs w:val="21"/>
                <w:highlight w:val="none"/>
              </w:rPr>
              <w:t>.125</w:t>
            </w: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2级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坐便器</w:t>
            </w:r>
          </w:p>
        </w:tc>
        <w:tc>
          <w:tcPr>
            <w:tcW w:w="2286" w:type="dxa"/>
            <w:tcBorders>
              <w:top w:val="single" w:color="auto" w:sz="4" w:space="0"/>
              <w:left w:val="single" w:color="auto" w:sz="4" w:space="0"/>
              <w:bottom w:val="single" w:color="auto" w:sz="4" w:space="0"/>
              <w:right w:val="single" w:color="auto" w:sz="4" w:space="0"/>
            </w:tcBorders>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r>
              <w:rPr>
                <w:rFonts w:hint="default" w:ascii="Times New Roman" w:hAnsi="Times New Roman" w:cs="Times New Roman"/>
                <w:color w:val="auto"/>
                <w:szCs w:val="21"/>
                <w:highlight w:val="none"/>
              </w:rPr>
              <w:t>5.0</w:t>
            </w:r>
          </w:p>
        </w:tc>
        <w:tc>
          <w:tcPr>
            <w:tcW w:w="1656" w:type="dxa"/>
            <w:tcBorders>
              <w:top w:val="single" w:color="auto" w:sz="4" w:space="0"/>
              <w:left w:val="single" w:color="auto" w:sz="4" w:space="0"/>
              <w:bottom w:val="single" w:color="auto" w:sz="4" w:space="0"/>
              <w:right w:val="single" w:color="auto" w:sz="4" w:space="0"/>
            </w:tcBorders>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2级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蹲便器</w:t>
            </w:r>
          </w:p>
        </w:tc>
        <w:tc>
          <w:tcPr>
            <w:tcW w:w="2286" w:type="dxa"/>
            <w:tcBorders>
              <w:top w:val="single" w:color="auto" w:sz="4" w:space="0"/>
              <w:left w:val="single" w:color="auto" w:sz="4" w:space="0"/>
              <w:bottom w:val="single" w:color="auto" w:sz="4" w:space="0"/>
              <w:right w:val="single" w:color="auto" w:sz="4" w:space="0"/>
            </w:tcBorders>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r>
              <w:rPr>
                <w:rFonts w:hint="default" w:ascii="Times New Roman" w:hAnsi="Times New Roman" w:cs="Times New Roman"/>
                <w:color w:val="auto"/>
                <w:szCs w:val="21"/>
                <w:highlight w:val="none"/>
              </w:rPr>
              <w:t>5.0</w:t>
            </w:r>
          </w:p>
        </w:tc>
        <w:tc>
          <w:tcPr>
            <w:tcW w:w="1656" w:type="dxa"/>
            <w:tcBorders>
              <w:top w:val="single" w:color="auto" w:sz="4" w:space="0"/>
              <w:left w:val="single" w:color="auto" w:sz="4" w:space="0"/>
              <w:bottom w:val="single" w:color="auto" w:sz="4" w:space="0"/>
              <w:right w:val="single" w:color="auto" w:sz="4" w:space="0"/>
            </w:tcBorders>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2级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小便器</w:t>
            </w:r>
          </w:p>
        </w:tc>
        <w:tc>
          <w:tcPr>
            <w:tcW w:w="2286" w:type="dxa"/>
            <w:tcBorders>
              <w:top w:val="single" w:color="auto" w:sz="4" w:space="0"/>
              <w:left w:val="single" w:color="auto" w:sz="4" w:space="0"/>
              <w:bottom w:val="single" w:color="auto" w:sz="4" w:space="0"/>
              <w:right w:val="single" w:color="auto" w:sz="4" w:space="0"/>
            </w:tcBorders>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r>
              <w:rPr>
                <w:rFonts w:hint="default" w:ascii="Times New Roman" w:hAnsi="Times New Roman" w:cs="Times New Roman"/>
                <w:color w:val="auto"/>
                <w:szCs w:val="21"/>
                <w:highlight w:val="none"/>
              </w:rPr>
              <w:t>3.0</w:t>
            </w:r>
          </w:p>
        </w:tc>
        <w:tc>
          <w:tcPr>
            <w:tcW w:w="1656" w:type="dxa"/>
            <w:tcBorders>
              <w:top w:val="single" w:color="auto" w:sz="4" w:space="0"/>
              <w:left w:val="single" w:color="auto" w:sz="4" w:space="0"/>
              <w:bottom w:val="single" w:color="auto" w:sz="4" w:space="0"/>
              <w:right w:val="single" w:color="auto" w:sz="4" w:space="0"/>
            </w:tcBorders>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2级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淋浴器</w:t>
            </w:r>
          </w:p>
        </w:tc>
        <w:tc>
          <w:tcPr>
            <w:tcW w:w="2286" w:type="dxa"/>
            <w:tcBorders>
              <w:top w:val="single" w:color="auto" w:sz="4" w:space="0"/>
              <w:left w:val="single" w:color="auto" w:sz="4" w:space="0"/>
              <w:bottom w:val="single" w:color="auto" w:sz="4" w:space="0"/>
              <w:right w:val="single" w:color="auto" w:sz="4" w:space="0"/>
            </w:tcBorders>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≤0</w:t>
            </w:r>
            <w:r>
              <w:rPr>
                <w:rFonts w:hint="default" w:ascii="Times New Roman" w:hAnsi="Times New Roman" w:cs="Times New Roman"/>
                <w:color w:val="auto"/>
                <w:szCs w:val="21"/>
                <w:highlight w:val="none"/>
              </w:rPr>
              <w:t>.12</w:t>
            </w:r>
          </w:p>
        </w:tc>
        <w:tc>
          <w:tcPr>
            <w:tcW w:w="1656" w:type="dxa"/>
            <w:tcBorders>
              <w:top w:val="single" w:color="auto" w:sz="4" w:space="0"/>
              <w:left w:val="single" w:color="auto" w:sz="4" w:space="0"/>
              <w:bottom w:val="single" w:color="auto" w:sz="4" w:space="0"/>
              <w:right w:val="single" w:color="auto" w:sz="4" w:space="0"/>
            </w:tcBorders>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2级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228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4" w:type="dxa"/>
            <w:gridSpan w:val="4"/>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用水效率等级达到2级的器具比例（%）</w:t>
            </w: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1</w:t>
            </w:r>
            <w:r>
              <w:rPr>
                <w:rFonts w:hint="default" w:ascii="Times New Roman" w:hAnsi="Times New Roman" w:cs="Times New Roman"/>
                <w:color w:val="auto"/>
                <w:szCs w:val="21"/>
                <w:highlight w:val="none"/>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4" w:type="dxa"/>
            <w:gridSpan w:val="4"/>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用水效率等级达到1级的器具比例（%）</w:t>
            </w:r>
          </w:p>
        </w:tc>
        <w:tc>
          <w:tcPr>
            <w:tcW w:w="165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90" w:type="dxa"/>
            <w:gridSpan w:val="5"/>
            <w:tcBorders>
              <w:top w:val="single" w:color="auto" w:sz="4" w:space="0"/>
              <w:left w:val="single" w:color="auto" w:sz="4" w:space="0"/>
              <w:bottom w:val="single" w:color="auto" w:sz="4" w:space="0"/>
              <w:right w:val="single" w:color="auto" w:sz="4" w:space="0"/>
            </w:tcBorders>
            <w:vAlign w:val="center"/>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注：一星级要求全部用水器具用水效率等级达到3级；二星级要求达到2级；三星级要求50%以上卫生器具的用水效率等级达到1级，且其余卫生器具的用水效率等级应不低于2级。</w:t>
            </w:r>
          </w:p>
        </w:tc>
      </w:tr>
    </w:tbl>
    <w:p>
      <w:pPr>
        <w:pStyle w:val="4"/>
        <w:numPr>
          <w:ilvl w:val="0"/>
          <w:numId w:val="14"/>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节水灌溉</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采用节水灌溉系统：■是□否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在采用节水灌溉系统的基础上，设置土壤湿度感应器、雨天自动关闭装置等节水控制措施，或种植无须永久灌溉植物：□是■否</w:t>
      </w:r>
    </w:p>
    <w:tbl>
      <w:tblPr>
        <w:tblStyle w:val="14"/>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835"/>
        <w:gridCol w:w="2835"/>
        <w:gridCol w:w="283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505" w:type="dxa"/>
            <w:gridSpan w:val="3"/>
            <w:shd w:val="clear" w:color="auto" w:fill="9FD3A4"/>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节水灌溉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restart"/>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绿化灌溉方式</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喷灌</w:t>
            </w:r>
          </w:p>
        </w:tc>
        <w:tc>
          <w:tcPr>
            <w:tcW w:w="283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微</w:t>
            </w:r>
            <w:r>
              <w:rPr>
                <w:rFonts w:hint="default" w:ascii="Times New Roman" w:hAnsi="Times New Roman" w:cs="Times New Roman"/>
                <w:color w:val="auto"/>
                <w:kern w:val="0"/>
                <w:szCs w:val="21"/>
                <w:highlight w:val="none"/>
              </w:rPr>
              <w:t>喷灌</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滴灌</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地下渗灌</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涌流灌</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2835" w:type="dxa"/>
            <w:vAlign w:val="center"/>
          </w:tcPr>
          <w:p>
            <w:pPr>
              <w:spacing w:line="360" w:lineRule="auto"/>
              <w:jc w:val="center"/>
              <w:rPr>
                <w:rFonts w:hint="default" w:ascii="Times New Roman" w:hAnsi="Times New Roman" w:cs="Times New Roman"/>
                <w:color w:val="auto"/>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restart"/>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节水控制措施</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zh-CN"/>
              </w:rPr>
              <w:t>土壤湿度感应器</w:t>
            </w:r>
          </w:p>
        </w:tc>
        <w:tc>
          <w:tcPr>
            <w:tcW w:w="283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zh-CN"/>
              </w:rPr>
              <w:t>雨天关闭装置</w:t>
            </w:r>
          </w:p>
        </w:tc>
        <w:tc>
          <w:tcPr>
            <w:tcW w:w="283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restart"/>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其他节水措施</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bCs/>
                <w:color w:val="auto"/>
                <w:szCs w:val="21"/>
                <w:highlight w:val="none"/>
                <w:lang w:val="zh-CN"/>
              </w:rPr>
              <w:t>无需永久灌溉植物</w:t>
            </w:r>
          </w:p>
        </w:tc>
        <w:tc>
          <w:tcPr>
            <w:tcW w:w="283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2835" w:type="dxa"/>
            <w:vAlign w:val="center"/>
          </w:tcPr>
          <w:p>
            <w:pPr>
              <w:spacing w:line="360" w:lineRule="auto"/>
              <w:jc w:val="center"/>
              <w:rPr>
                <w:rFonts w:hint="default" w:ascii="Times New Roman" w:hAnsi="Times New Roman" w:cs="Times New Roman"/>
                <w:bCs/>
                <w:color w:val="auto"/>
                <w:szCs w:val="21"/>
                <w:highlight w:val="none"/>
                <w:lang w:val="zh-CN"/>
              </w:rPr>
            </w:pPr>
            <w:r>
              <w:rPr>
                <w:rFonts w:hint="default" w:ascii="Times New Roman" w:hAnsi="Times New Roman" w:cs="Times New Roman"/>
                <w:bCs/>
                <w:color w:val="auto"/>
                <w:szCs w:val="21"/>
                <w:highlight w:val="none"/>
                <w:lang w:val="zh-CN"/>
              </w:rPr>
              <w:t>种植的无需永久灌溉植物所占绿化面积比例（%）</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505" w:type="dxa"/>
            <w:gridSpan w:val="3"/>
            <w:vAlign w:val="center"/>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注：1）二星级要求：绿化灌溉应采用喷灌、滴管、微灌等高效节水灌溉方式。</w:t>
            </w:r>
          </w:p>
          <w:p>
            <w:pPr>
              <w:spacing w:line="360" w:lineRule="auto"/>
              <w:ind w:firstLine="420" w:firstLineChars="200"/>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2）三星级要求：在采用节水灌溉系统的基础上，应设置土壤湿度感应器、雨天自动关闭装置等节水控制措施，或种植无须永久灌溉植物。</w:t>
            </w:r>
          </w:p>
        </w:tc>
      </w:tr>
    </w:tbl>
    <w:p>
      <w:pPr>
        <w:spacing w:line="360" w:lineRule="auto"/>
        <w:ind w:left="420"/>
        <w:rPr>
          <w:rFonts w:hint="default" w:ascii="Times New Roman" w:hAnsi="Times New Roman" w:cs="Times New Roman"/>
          <w:color w:val="auto"/>
          <w:sz w:val="24"/>
          <w:highlight w:val="none"/>
        </w:rPr>
      </w:pPr>
    </w:p>
    <w:p>
      <w:pPr>
        <w:pStyle w:val="4"/>
        <w:numPr>
          <w:ilvl w:val="0"/>
          <w:numId w:val="14"/>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空调冷却水节水</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冷却水节水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循环冷却水系统采取设置水处理措施、加大集水盘、设置平衡管或平衡水箱等方式，避免冷却水泵停泵时冷却水溢出</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w:t>
            </w:r>
            <w:r>
              <w:rPr>
                <w:rFonts w:hint="default" w:ascii="Times New Roman" w:hAnsi="Times New Roman" w:cs="Times New Roman"/>
                <w:color w:val="auto"/>
                <w:szCs w:val="21"/>
                <w:highlight w:val="none"/>
                <w:lang w:val="zh-CN"/>
              </w:rPr>
              <w:t>■</w:t>
            </w:r>
            <w:r>
              <w:rPr>
                <w:rFonts w:hint="default" w:ascii="Times New Roman" w:hAnsi="Times New Roman" w:cs="Times New Roman"/>
                <w:color w:val="auto"/>
                <w:kern w:val="0"/>
                <w:szCs w:val="21"/>
                <w:highlight w:val="none"/>
              </w:rPr>
              <w:t>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采用无蒸发耗水量的冷却技术</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lang w:val="zh-CN"/>
              </w:rPr>
              <w:t>■</w:t>
            </w:r>
            <w:r>
              <w:rPr>
                <w:rFonts w:hint="default" w:ascii="Times New Roman" w:hAnsi="Times New Roman" w:cs="Times New Roman"/>
                <w:color w:val="auto"/>
                <w:kern w:val="0"/>
                <w:szCs w:val="21"/>
                <w:highlight w:val="none"/>
              </w:rPr>
              <w:t>是□否</w:t>
            </w:r>
          </w:p>
        </w:tc>
        <w:tc>
          <w:tcPr>
            <w:tcW w:w="1173"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拟采用分体空调系统</w:t>
            </w:r>
          </w:p>
        </w:tc>
      </w:tr>
    </w:tbl>
    <w:p>
      <w:pPr>
        <w:pStyle w:val="4"/>
        <w:numPr>
          <w:ilvl w:val="0"/>
          <w:numId w:val="14"/>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泳池节水</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泳池节水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游泳池、水上娱乐池（儿童池除外）等采用循环给水系统</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w:t>
            </w:r>
            <w:r>
              <w:rPr>
                <w:rFonts w:hint="default" w:ascii="Times New Roman" w:hAnsi="Times New Roman" w:cs="Times New Roman"/>
                <w:color w:val="auto"/>
                <w:szCs w:val="21"/>
                <w:highlight w:val="none"/>
                <w:lang w:val="zh-CN"/>
              </w:rPr>
              <w:t>■</w:t>
            </w:r>
            <w:r>
              <w:rPr>
                <w:rFonts w:hint="default" w:ascii="Times New Roman" w:hAnsi="Times New Roman" w:cs="Times New Roman"/>
                <w:color w:val="auto"/>
                <w:kern w:val="0"/>
                <w:szCs w:val="21"/>
                <w:highlight w:val="none"/>
              </w:rPr>
              <w:t>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游泳池、水上娱乐池（儿童池除外）等排出废水回收利用</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w:t>
            </w:r>
            <w:r>
              <w:rPr>
                <w:rFonts w:hint="default" w:ascii="Times New Roman" w:hAnsi="Times New Roman" w:cs="Times New Roman"/>
                <w:color w:val="auto"/>
                <w:szCs w:val="21"/>
                <w:highlight w:val="none"/>
                <w:lang w:val="zh-CN"/>
              </w:rPr>
              <w:t>■</w:t>
            </w:r>
            <w:r>
              <w:rPr>
                <w:rFonts w:hint="default" w:ascii="Times New Roman" w:hAnsi="Times New Roman" w:cs="Times New Roman"/>
                <w:color w:val="auto"/>
                <w:kern w:val="0"/>
                <w:szCs w:val="21"/>
                <w:highlight w:val="none"/>
              </w:rPr>
              <w:t>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bl>
    <w:p>
      <w:pPr>
        <w:spacing w:line="360" w:lineRule="auto"/>
        <w:ind w:left="420"/>
        <w:rPr>
          <w:rFonts w:hint="default" w:ascii="Times New Roman" w:hAnsi="Times New Roman" w:cs="Times New Roman"/>
          <w:color w:val="auto"/>
          <w:sz w:val="24"/>
          <w:highlight w:val="none"/>
        </w:rPr>
      </w:pPr>
    </w:p>
    <w:p>
      <w:pPr>
        <w:pStyle w:val="4"/>
        <w:numPr>
          <w:ilvl w:val="0"/>
          <w:numId w:val="14"/>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 xml:space="preserve">景观水体（若有）节水及水质 </w:t>
      </w:r>
      <w:r>
        <w:rPr>
          <w:rFonts w:hint="default" w:ascii="Times New Roman" w:hAnsi="Times New Roman" w:cs="Times New Roman"/>
          <w:color w:val="auto"/>
          <w:highlight w:val="none"/>
          <w:u w:val="single"/>
        </w:rPr>
        <w:t>/</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景观水体利用雨水的补水量占其水体蒸发量的比例（%）：</w:t>
      </w:r>
      <w:r>
        <w:rPr>
          <w:rFonts w:hint="default" w:ascii="Times New Roman" w:hAnsi="Times New Roman" w:cs="Times New Roman"/>
          <w:color w:val="auto"/>
          <w:sz w:val="24"/>
          <w:szCs w:val="24"/>
          <w:highlight w:val="none"/>
          <w:u w:val="single"/>
        </w:rPr>
        <w:t>/</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对进入室外景观水体的雨水，利用生态设施削减径流污染：□是□否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利用水生动、植物保障室外景观水体水质：□是□否</w:t>
      </w:r>
    </w:p>
    <w:tbl>
      <w:tblPr>
        <w:tblStyle w:val="14"/>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835"/>
        <w:gridCol w:w="2835"/>
        <w:gridCol w:w="283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505" w:type="dxa"/>
            <w:gridSpan w:val="3"/>
            <w:shd w:val="clear" w:color="auto" w:fill="9FD3A4"/>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景观水体（若有）节水及水质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restart"/>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景观水体补水水源</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地表水</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市政中水</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建筑中水</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雨水</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670" w:type="dxa"/>
            <w:gridSpan w:val="2"/>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景观水体利用雨水的补水量（mm）</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670" w:type="dxa"/>
            <w:gridSpan w:val="2"/>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所在区域水体多年平均蒸发量（mm）</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670" w:type="dxa"/>
            <w:gridSpan w:val="2"/>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景观水体利用雨水的补水量占其水体蒸发量的比例（%）</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670" w:type="dxa"/>
            <w:gridSpan w:val="2"/>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保证水质措施：利用水生动、植物保障室外景观水体水质</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505" w:type="dxa"/>
            <w:gridSpan w:val="3"/>
            <w:vAlign w:val="center"/>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注：1）二星级要求：室外景观水体利用雨水的补水量应大于其水体蒸发量的60%，且采用保障水体水质的生态水处理技术。</w:t>
            </w:r>
          </w:p>
        </w:tc>
      </w:tr>
    </w:tbl>
    <w:p>
      <w:pPr>
        <w:spacing w:line="360" w:lineRule="auto"/>
        <w:ind w:firstLine="480" w:firstLineChars="200"/>
        <w:rPr>
          <w:rFonts w:hint="default" w:ascii="Times New Roman" w:hAnsi="Times New Roman" w:cs="Times New Roman"/>
          <w:color w:val="auto"/>
          <w:sz w:val="24"/>
          <w:szCs w:val="24"/>
          <w:highlight w:val="none"/>
        </w:rPr>
      </w:pPr>
    </w:p>
    <w:p>
      <w:pPr>
        <w:pStyle w:val="4"/>
        <w:numPr>
          <w:ilvl w:val="0"/>
          <w:numId w:val="12"/>
        </w:numPr>
        <w:spacing w:before="156" w:after="156"/>
        <w:ind w:firstLineChars="0"/>
        <w:rPr>
          <w:rStyle w:val="23"/>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bookmarkStart w:id="112" w:name="_Toc124520261"/>
      <w:r>
        <w:rPr>
          <w:rStyle w:val="23"/>
          <w:rFonts w:hint="default" w:ascii="Times New Roman" w:hAnsi="Times New Roman" w:cs="Times New Roman"/>
          <w:color w:val="auto"/>
          <w:highlight w:val="none"/>
        </w:rPr>
        <w:t>非传统水源利用</w:t>
      </w:r>
      <w:bookmarkEnd w:id="112"/>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0"/>
        <w:gridCol w:w="1985"/>
        <w:gridCol w:w="1612"/>
        <w:gridCol w:w="2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非传统水源利用率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2830"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类别</w:t>
            </w:r>
          </w:p>
        </w:tc>
        <w:tc>
          <w:tcPr>
            <w:tcW w:w="198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非传统水源用量（m</w:t>
            </w:r>
            <w:r>
              <w:rPr>
                <w:rFonts w:hint="default" w:ascii="Times New Roman" w:hAnsi="Times New Roman" w:cs="Times New Roman"/>
                <w:color w:val="auto"/>
                <w:kern w:val="0"/>
                <w:szCs w:val="21"/>
                <w:highlight w:val="none"/>
                <w:vertAlign w:val="superscript"/>
              </w:rPr>
              <w:t>3</w:t>
            </w:r>
            <w:r>
              <w:rPr>
                <w:rFonts w:hint="default" w:ascii="Times New Roman" w:hAnsi="Times New Roman" w:cs="Times New Roman"/>
                <w:color w:val="auto"/>
                <w:kern w:val="0"/>
                <w:szCs w:val="21"/>
                <w:highlight w:val="none"/>
              </w:rPr>
              <w:t>/a）</w:t>
            </w:r>
          </w:p>
        </w:tc>
        <w:tc>
          <w:tcPr>
            <w:tcW w:w="1612"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总用量</w:t>
            </w:r>
          </w:p>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（m</w:t>
            </w:r>
            <w:r>
              <w:rPr>
                <w:rFonts w:hint="default" w:ascii="Times New Roman" w:hAnsi="Times New Roman" w:cs="Times New Roman"/>
                <w:color w:val="auto"/>
                <w:kern w:val="0"/>
                <w:szCs w:val="21"/>
                <w:highlight w:val="none"/>
                <w:vertAlign w:val="superscript"/>
              </w:rPr>
              <w:t>3</w:t>
            </w:r>
            <w:r>
              <w:rPr>
                <w:rFonts w:hint="default" w:ascii="Times New Roman" w:hAnsi="Times New Roman" w:cs="Times New Roman"/>
                <w:color w:val="auto"/>
                <w:kern w:val="0"/>
                <w:szCs w:val="21"/>
                <w:highlight w:val="none"/>
              </w:rPr>
              <w:t>/a）</w:t>
            </w:r>
          </w:p>
        </w:tc>
        <w:tc>
          <w:tcPr>
            <w:tcW w:w="2078"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非传统水源利用率（%）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283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绿化灌溉、车库及道路冲洗、洗车用水</w:t>
            </w:r>
          </w:p>
        </w:tc>
        <w:tc>
          <w:tcPr>
            <w:tcW w:w="198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61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07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283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冲厕</w:t>
            </w:r>
          </w:p>
        </w:tc>
        <w:tc>
          <w:tcPr>
            <w:tcW w:w="198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61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07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283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冷却水补水</w:t>
            </w:r>
          </w:p>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（有冷却水补水系统时）</w:t>
            </w:r>
          </w:p>
        </w:tc>
        <w:tc>
          <w:tcPr>
            <w:tcW w:w="1985"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612"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078"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注：1）使用非传统水源不得对人体健康与周围环境产生不良影响；</w:t>
            </w:r>
          </w:p>
          <w:p>
            <w:pPr>
              <w:spacing w:line="360" w:lineRule="auto"/>
              <w:ind w:firstLine="420" w:firstLineChars="200"/>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2）非传统水源管道严禁与饮用水管道系统、自备水源供水系统连接；</w:t>
            </w:r>
          </w:p>
          <w:p>
            <w:pPr>
              <w:spacing w:line="360" w:lineRule="auto"/>
              <w:ind w:firstLine="420" w:firstLineChars="200"/>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3）非传统水源管道和设备应设置明确、清晰的永久性标识，防止误接、误用、误饮；</w:t>
            </w:r>
          </w:p>
          <w:p>
            <w:pPr>
              <w:spacing w:line="360" w:lineRule="auto"/>
              <w:ind w:firstLine="420" w:firstLineChars="200"/>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4）采用再生水的绿化供水管网不得使用易于产生水雾的喷头。</w:t>
            </w:r>
          </w:p>
          <w:p>
            <w:pPr>
              <w:spacing w:line="360" w:lineRule="auto"/>
              <w:ind w:firstLine="420" w:firstLineChars="200"/>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5）二星级要求：绿化灌溉、车库及道路冲洗、洗车用水采用非传统水源的用水量占其总用水量的比例不低于40%；当设有市政中水管网时，冲厕采用非传统水源的用水量占其总用水量的比例不低于30%；当设有市政中水管网时，冷却水补水采用非传统水源的用水量占其总用水量的比例不低于20%。</w:t>
            </w:r>
          </w:p>
          <w:p>
            <w:pPr>
              <w:spacing w:line="360" w:lineRule="auto"/>
              <w:ind w:firstLine="420" w:firstLineChars="200"/>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6）三星级要求：绿化灌溉、车库及道路冲洗、洗车用水采用非传统水源的用水量占其总用水量的比例不低于60%；当设有市政中水管网时，冲厕采用非传统水源的用水量占其总用水量的比例不低于50%；当设有市政中水管网时，冷却水补水采用非传统水源的用水量占其总用水量的比例不低于40%。</w:t>
            </w:r>
          </w:p>
        </w:tc>
      </w:tr>
    </w:tbl>
    <w:p>
      <w:pPr>
        <w:widowControl/>
        <w:jc w:val="left"/>
        <w:rPr>
          <w:rFonts w:hint="default" w:ascii="Times New Roman" w:hAnsi="Times New Roman" w:cs="Times New Roman"/>
          <w:b/>
          <w:bCs/>
          <w:color w:val="auto"/>
          <w:sz w:val="28"/>
          <w:szCs w:val="32"/>
          <w:highlight w:val="none"/>
        </w:rPr>
      </w:pPr>
      <w:bookmarkStart w:id="113" w:name="_Toc384284845"/>
      <w:bookmarkStart w:id="114" w:name="_Toc533426686"/>
      <w:bookmarkStart w:id="115" w:name="_Toc391469270"/>
      <w:bookmarkStart w:id="116" w:name="_Toc391477880"/>
    </w:p>
    <w:p>
      <w:pPr>
        <w:pStyle w:val="2"/>
        <w:numPr>
          <w:ilvl w:val="0"/>
          <w:numId w:val="1"/>
        </w:numPr>
        <w:spacing w:before="156" w:after="156"/>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bookmarkStart w:id="117" w:name="_Toc124520262"/>
      <w:bookmarkStart w:id="118" w:name="_Toc5123"/>
      <w:r>
        <w:rPr>
          <w:rFonts w:hint="default" w:ascii="Times New Roman" w:hAnsi="Times New Roman" w:cs="Times New Roman"/>
          <w:color w:val="auto"/>
          <w:highlight w:val="none"/>
        </w:rPr>
        <w:t>暖通空调设计</w:t>
      </w:r>
      <w:bookmarkEnd w:id="113"/>
      <w:bookmarkEnd w:id="114"/>
      <w:bookmarkEnd w:id="115"/>
      <w:bookmarkEnd w:id="116"/>
      <w:bookmarkEnd w:id="117"/>
      <w:bookmarkEnd w:id="118"/>
    </w:p>
    <w:p>
      <w:pPr>
        <w:pStyle w:val="3"/>
        <w:numPr>
          <w:ilvl w:val="0"/>
          <w:numId w:val="15"/>
        </w:numPr>
        <w:spacing w:after="156"/>
        <w:rPr>
          <w:rFonts w:hint="default" w:ascii="Times New Roman" w:hAnsi="Times New Roman" w:cs="Times New Roman"/>
          <w:color w:val="auto"/>
          <w:highlight w:val="none"/>
        </w:rPr>
      </w:pPr>
      <w:bookmarkStart w:id="119" w:name="_Toc124520263"/>
      <w:r>
        <w:rPr>
          <w:rFonts w:hint="default" w:ascii="Times New Roman" w:hAnsi="Times New Roman" w:cs="Times New Roman"/>
          <w:color w:val="auto"/>
          <w:highlight w:val="none"/>
        </w:rPr>
        <w:t>污染物排放</w:t>
      </w:r>
      <w:bookmarkEnd w:id="119"/>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场地内无排放超标的污染源：■是□否</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0"/>
        <w:gridCol w:w="3969"/>
        <w:gridCol w:w="17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污染物排放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6799" w:type="dxa"/>
            <w:gridSpan w:val="2"/>
            <w:shd w:val="clear" w:color="auto" w:fill="9FD3A4"/>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建筑或设施类别</w:t>
            </w:r>
          </w:p>
        </w:tc>
        <w:tc>
          <w:tcPr>
            <w:tcW w:w="1706" w:type="dxa"/>
            <w:shd w:val="clear" w:color="auto" w:fill="9FD3A4"/>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项目情况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6799" w:type="dxa"/>
            <w:gridSpan w:val="2"/>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餐饮类建筑</w:t>
            </w:r>
          </w:p>
        </w:tc>
        <w:tc>
          <w:tcPr>
            <w:tcW w:w="170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w:t>
            </w:r>
            <w:r>
              <w:rPr>
                <w:rFonts w:hint="default" w:ascii="Times New Roman" w:hAnsi="Times New Roman" w:cs="Times New Roman"/>
                <w:color w:val="auto"/>
                <w:szCs w:val="21"/>
                <w:highlight w:val="none"/>
                <w:lang w:val="zh-CN"/>
              </w:rPr>
              <w:t>■</w:t>
            </w:r>
            <w:r>
              <w:rPr>
                <w:rFonts w:hint="default" w:ascii="Times New Roman" w:hAnsi="Times New Roman" w:cs="Times New Roman"/>
                <w:color w:val="auto"/>
                <w:kern w:val="0"/>
                <w:szCs w:val="21"/>
                <w:highlight w:val="none"/>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6799" w:type="dxa"/>
            <w:gridSpan w:val="2"/>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zh-CN"/>
              </w:rPr>
              <w:t>锅炉房</w:t>
            </w:r>
          </w:p>
        </w:tc>
        <w:tc>
          <w:tcPr>
            <w:tcW w:w="170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□有</w:t>
            </w:r>
            <w:r>
              <w:rPr>
                <w:rFonts w:hint="default" w:ascii="Times New Roman" w:hAnsi="Times New Roman" w:cs="Times New Roman"/>
                <w:color w:val="auto"/>
                <w:szCs w:val="21"/>
                <w:highlight w:val="none"/>
                <w:lang w:val="zh-CN"/>
              </w:rPr>
              <w:t>■</w:t>
            </w:r>
            <w:r>
              <w:rPr>
                <w:rFonts w:hint="default" w:ascii="Times New Roman" w:hAnsi="Times New Roman" w:cs="Times New Roman"/>
                <w:color w:val="auto"/>
                <w:kern w:val="0"/>
                <w:szCs w:val="21"/>
                <w:highlight w:val="none"/>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6799" w:type="dxa"/>
            <w:gridSpan w:val="2"/>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zh-CN"/>
              </w:rPr>
              <w:t>垃圾运转站</w:t>
            </w:r>
          </w:p>
        </w:tc>
        <w:tc>
          <w:tcPr>
            <w:tcW w:w="170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w:t>
            </w:r>
            <w:r>
              <w:rPr>
                <w:rFonts w:hint="default" w:ascii="Times New Roman" w:hAnsi="Times New Roman" w:cs="Times New Roman"/>
                <w:color w:val="auto"/>
                <w:szCs w:val="21"/>
                <w:highlight w:val="none"/>
                <w:lang w:val="zh-CN"/>
              </w:rPr>
              <w:t>■</w:t>
            </w:r>
            <w:r>
              <w:rPr>
                <w:rFonts w:hint="default" w:ascii="Times New Roman" w:hAnsi="Times New Roman" w:cs="Times New Roman"/>
                <w:color w:val="auto"/>
                <w:kern w:val="0"/>
                <w:szCs w:val="21"/>
                <w:highlight w:val="none"/>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6799" w:type="dxa"/>
            <w:gridSpan w:val="2"/>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zh-CN"/>
              </w:rPr>
              <w:t>其他易产生烟、气、尘、噪声的建筑或设施</w:t>
            </w:r>
          </w:p>
        </w:tc>
        <w:tc>
          <w:tcPr>
            <w:tcW w:w="170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8505" w:type="dxa"/>
            <w:gridSpan w:val="3"/>
            <w:shd w:val="clear" w:color="auto" w:fill="9FD3A4"/>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餐饮油烟排放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6799" w:type="dxa"/>
            <w:gridSpan w:val="2"/>
            <w:shd w:val="clear" w:color="auto" w:fill="CCE8CF"/>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要求</w:t>
            </w:r>
          </w:p>
        </w:tc>
        <w:tc>
          <w:tcPr>
            <w:tcW w:w="1706" w:type="dxa"/>
            <w:shd w:val="clear" w:color="auto" w:fill="CCE8CF"/>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符合情况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6799" w:type="dxa"/>
            <w:gridSpan w:val="2"/>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所在建筑物高度在15m（含15m）以下的，油烟排气筒q应高于建筑物最高点并不得直接朝向居民住宅等敏感点</w:t>
            </w:r>
          </w:p>
        </w:tc>
        <w:tc>
          <w:tcPr>
            <w:tcW w:w="170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6799" w:type="dxa"/>
            <w:gridSpan w:val="2"/>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所在建筑物高度在15m以上的，油烟排气筒排放口高度应不大于15m</w:t>
            </w:r>
          </w:p>
        </w:tc>
        <w:tc>
          <w:tcPr>
            <w:tcW w:w="170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6799" w:type="dxa"/>
            <w:gridSpan w:val="2"/>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经油烟净化后的油烟排放口与周边环境敏感目标距离不应小于20m，经油烟净化和除异味处理后的排放口与周边环境敏感目标距离不应小于10m</w:t>
            </w:r>
          </w:p>
        </w:tc>
        <w:tc>
          <w:tcPr>
            <w:tcW w:w="170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6799" w:type="dxa"/>
            <w:gridSpan w:val="2"/>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餐饮业油烟净化设备的去除效率应≥85%，油烟的最高允许排放浓度应不大于1.0mg/m³</w:t>
            </w:r>
          </w:p>
        </w:tc>
        <w:tc>
          <w:tcPr>
            <w:tcW w:w="170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8505" w:type="dxa"/>
            <w:gridSpan w:val="3"/>
            <w:shd w:val="clear" w:color="auto" w:fill="9FD3A4"/>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zh-CN"/>
              </w:rPr>
              <w:t>锅炉房污染物排放</w:t>
            </w:r>
            <w:r>
              <w:rPr>
                <w:rFonts w:hint="default" w:ascii="Times New Roman" w:hAnsi="Times New Roman" w:cs="Times New Roman"/>
                <w:color w:val="auto"/>
                <w:kern w:val="0"/>
                <w:szCs w:val="21"/>
                <w:highlight w:val="none"/>
              </w:rPr>
              <w:t>（无此项）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283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污染物种类</w:t>
            </w:r>
          </w:p>
        </w:tc>
        <w:tc>
          <w:tcPr>
            <w:tcW w:w="396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限值</w:t>
            </w:r>
          </w:p>
        </w:tc>
        <w:tc>
          <w:tcPr>
            <w:tcW w:w="170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项目情况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2830"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颗粒物（mg/m³）</w:t>
            </w:r>
          </w:p>
        </w:tc>
        <w:tc>
          <w:tcPr>
            <w:tcW w:w="3969"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5</w:t>
            </w:r>
          </w:p>
        </w:tc>
        <w:tc>
          <w:tcPr>
            <w:tcW w:w="170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2830"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二氧化硫（mg/m³）</w:t>
            </w:r>
          </w:p>
        </w:tc>
        <w:tc>
          <w:tcPr>
            <w:tcW w:w="3969"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10</w:t>
            </w:r>
          </w:p>
        </w:tc>
        <w:tc>
          <w:tcPr>
            <w:tcW w:w="170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2830"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氮氧化物（mg/m³）</w:t>
            </w:r>
          </w:p>
        </w:tc>
        <w:tc>
          <w:tcPr>
            <w:tcW w:w="3969"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30</w:t>
            </w:r>
          </w:p>
        </w:tc>
        <w:tc>
          <w:tcPr>
            <w:tcW w:w="170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2830"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汞及其化合物（μg/m³）</w:t>
            </w:r>
          </w:p>
        </w:tc>
        <w:tc>
          <w:tcPr>
            <w:tcW w:w="3969"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0.5</w:t>
            </w:r>
          </w:p>
        </w:tc>
        <w:tc>
          <w:tcPr>
            <w:tcW w:w="170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2830"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烟气黑度（林格曼黑度，级）</w:t>
            </w:r>
          </w:p>
        </w:tc>
        <w:tc>
          <w:tcPr>
            <w:tcW w:w="3969"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1</w:t>
            </w:r>
          </w:p>
        </w:tc>
        <w:tc>
          <w:tcPr>
            <w:tcW w:w="170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bl>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br w:type="page"/>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99"/>
        <w:gridCol w:w="17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8505" w:type="dxa"/>
            <w:gridSpan w:val="2"/>
            <w:shd w:val="clear" w:color="auto" w:fill="9FD3A4"/>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6799" w:type="dxa"/>
            <w:shd w:val="clear" w:color="auto" w:fill="CCE8CF"/>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要求</w:t>
            </w:r>
          </w:p>
        </w:tc>
        <w:tc>
          <w:tcPr>
            <w:tcW w:w="1706" w:type="dxa"/>
            <w:shd w:val="clear" w:color="auto" w:fill="CCE8CF"/>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符合情况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679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垃圾房、隔油池等有异味或污染物产生的房间排风应净化处理后排放</w:t>
            </w:r>
          </w:p>
        </w:tc>
        <w:tc>
          <w:tcPr>
            <w:tcW w:w="170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lang w:val="zh-CN"/>
              </w:rPr>
              <w:t>■</w:t>
            </w: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679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地下车库应设置与排风设备联动的一氧化碳浓度监测装置</w:t>
            </w:r>
          </w:p>
        </w:tc>
        <w:tc>
          <w:tcPr>
            <w:tcW w:w="1706"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lang w:val="zh-CN"/>
              </w:rPr>
              <w:t>■</w:t>
            </w:r>
            <w:r>
              <w:rPr>
                <w:rFonts w:hint="default" w:ascii="Times New Roman" w:hAnsi="Times New Roman" w:cs="Times New Roman"/>
                <w:color w:val="auto"/>
                <w:kern w:val="0"/>
                <w:szCs w:val="21"/>
                <w:highlight w:val="none"/>
              </w:rPr>
              <w:t>是□否</w:t>
            </w:r>
          </w:p>
        </w:tc>
      </w:tr>
    </w:tbl>
    <w:p>
      <w:pPr>
        <w:spacing w:line="360" w:lineRule="auto"/>
        <w:ind w:firstLine="480" w:firstLineChars="200"/>
        <w:rPr>
          <w:rFonts w:hint="default" w:ascii="Times New Roman" w:hAnsi="Times New Roman" w:cs="Times New Roman"/>
          <w:color w:val="auto"/>
          <w:sz w:val="24"/>
          <w:szCs w:val="24"/>
          <w:highlight w:val="none"/>
        </w:rPr>
      </w:pPr>
    </w:p>
    <w:p>
      <w:pPr>
        <w:pStyle w:val="3"/>
        <w:numPr>
          <w:ilvl w:val="0"/>
          <w:numId w:val="15"/>
        </w:numPr>
        <w:spacing w:after="156"/>
        <w:rPr>
          <w:rFonts w:hint="default" w:ascii="Times New Roman" w:hAnsi="Times New Roman" w:cs="Times New Roman"/>
          <w:color w:val="auto"/>
          <w:highlight w:val="none"/>
        </w:rPr>
      </w:pPr>
      <w:bookmarkStart w:id="120" w:name="_Toc124520264"/>
      <w:r>
        <w:rPr>
          <w:rFonts w:hint="default" w:ascii="Times New Roman" w:hAnsi="Times New Roman" w:cs="Times New Roman"/>
          <w:color w:val="auto"/>
          <w:highlight w:val="none"/>
        </w:rPr>
        <w:t>空调系统</w:t>
      </w:r>
      <w:bookmarkEnd w:id="120"/>
    </w:p>
    <w:p>
      <w:pPr>
        <w:pStyle w:val="4"/>
        <w:numPr>
          <w:ilvl w:val="0"/>
          <w:numId w:val="16"/>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降低能耗措施</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降耗措施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bookmarkStart w:id="121" w:name="_Hlk112244067"/>
            <w:r>
              <w:rPr>
                <w:rFonts w:hint="default" w:ascii="Times New Roman" w:hAnsi="Times New Roman" w:cs="Times New Roman"/>
                <w:color w:val="auto"/>
                <w:szCs w:val="21"/>
                <w:highlight w:val="none"/>
              </w:rPr>
              <w:t>区分房间的朝向及内部功能细分供暖、空调区域，并对系统进行分区控制</w:t>
            </w:r>
            <w:bookmarkEnd w:id="121"/>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lang w:val="zh-CN"/>
              </w:rPr>
              <w:t>■</w:t>
            </w:r>
            <w:r>
              <w:rPr>
                <w:rFonts w:hint="default" w:ascii="Times New Roman" w:hAnsi="Times New Roman" w:cs="Times New Roman"/>
                <w:color w:val="auto"/>
                <w:kern w:val="0"/>
                <w:szCs w:val="21"/>
                <w:highlight w:val="none"/>
              </w:rPr>
              <w:t>是□否</w:t>
            </w:r>
          </w:p>
        </w:tc>
        <w:tc>
          <w:tcPr>
            <w:tcW w:w="1173" w:type="dxa"/>
            <w:vMerge w:val="restart"/>
            <w:vAlign w:val="center"/>
          </w:tcPr>
          <w:p>
            <w:pP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拟采用分体空调系统</w:t>
            </w:r>
            <w:r>
              <w:rPr>
                <w:rFonts w:hint="default" w:ascii="Times New Roman" w:hAnsi="Times New Roman" w:cs="Times New Roman"/>
                <w:color w:val="auto"/>
                <w:szCs w:val="21"/>
                <w:highlight w:val="none"/>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bookmarkStart w:id="122" w:name="_Hlk112244079"/>
            <w:r>
              <w:rPr>
                <w:rFonts w:hint="default" w:ascii="Times New Roman" w:hAnsi="Times New Roman" w:cs="Times New Roman"/>
                <w:color w:val="auto"/>
                <w:szCs w:val="21"/>
                <w:highlight w:val="none"/>
              </w:rPr>
              <w:t>除功能相同、使用时间与运行方式、业态归属一致的房间，各房间均采取可独立调节分室控制的供暖空调末端装置</w:t>
            </w:r>
            <w:bookmarkEnd w:id="122"/>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lang w:val="zh-CN"/>
              </w:rPr>
              <w:t>■</w:t>
            </w: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空调冷源的部分负荷性能系数(IPLV)、电冷源综合制冷性能系数(SCOP)满足GB50189规定</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lang w:val="zh-CN"/>
              </w:rPr>
              <w:t>■</w:t>
            </w: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根据建筑空间功能设置分区温度，合理降低室内过渡区空间的温度设定标准</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lang w:val="zh-CN"/>
              </w:rPr>
              <w:t>/</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全年运行中存在供冷和供热需求的多联式空调系统采用热泵式机组</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lang w:val="zh-CN"/>
              </w:rPr>
              <w:t>/</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bl>
    <w:p>
      <w:pPr>
        <w:spacing w:line="360" w:lineRule="auto"/>
        <w:rPr>
          <w:rFonts w:hint="default" w:ascii="Times New Roman" w:hAnsi="Times New Roman" w:cs="Times New Roman"/>
          <w:color w:val="auto"/>
          <w:sz w:val="24"/>
          <w:highlight w:val="none"/>
        </w:rPr>
      </w:pP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4"/>
        <w:numPr>
          <w:ilvl w:val="0"/>
          <w:numId w:val="16"/>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供暖空调系统的冷、热源机组能效</w:t>
      </w:r>
    </w:p>
    <w:tbl>
      <w:tblPr>
        <w:tblStyle w:val="14"/>
        <w:tblW w:w="0" w:type="auto"/>
        <w:jc w:val="center"/>
        <w:tblLayout w:type="fixed"/>
        <w:tblCellMar>
          <w:top w:w="0" w:type="dxa"/>
          <w:left w:w="108" w:type="dxa"/>
          <w:bottom w:w="0" w:type="dxa"/>
          <w:right w:w="108" w:type="dxa"/>
        </w:tblCellMar>
      </w:tblPr>
      <w:tblGrid>
        <w:gridCol w:w="1627"/>
        <w:gridCol w:w="1364"/>
        <w:gridCol w:w="1090"/>
        <w:gridCol w:w="982"/>
        <w:gridCol w:w="1164"/>
        <w:gridCol w:w="1064"/>
        <w:gridCol w:w="1214"/>
      </w:tblGrid>
      <w:tr>
        <w:tblPrEx>
          <w:tblCellMar>
            <w:top w:w="0" w:type="dxa"/>
            <w:left w:w="108" w:type="dxa"/>
            <w:bottom w:w="0" w:type="dxa"/>
            <w:right w:w="108" w:type="dxa"/>
          </w:tblCellMar>
        </w:tblPrEx>
        <w:trPr>
          <w:trHeight w:val="270" w:hRule="atLeast"/>
          <w:jc w:val="center"/>
        </w:trPr>
        <w:tc>
          <w:tcPr>
            <w:tcW w:w="8505" w:type="dxa"/>
            <w:gridSpan w:val="7"/>
            <w:tcBorders>
              <w:top w:val="single" w:color="auto" w:sz="4" w:space="0"/>
              <w:left w:val="single" w:color="auto" w:sz="4" w:space="0"/>
              <w:bottom w:val="single" w:color="auto" w:sz="4" w:space="0"/>
              <w:right w:val="single" w:color="auto" w:sz="4" w:space="0"/>
            </w:tcBorders>
            <w:shd w:val="clear" w:color="auto" w:fill="9FD3A4"/>
            <w:vAlign w:val="center"/>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szCs w:val="21"/>
                <w:highlight w:val="none"/>
              </w:rPr>
              <w:t>供暖空调系统的冷、热源机组能效</w:t>
            </w:r>
          </w:p>
        </w:tc>
      </w:tr>
      <w:tr>
        <w:tblPrEx>
          <w:tblCellMar>
            <w:top w:w="0" w:type="dxa"/>
            <w:left w:w="108" w:type="dxa"/>
            <w:bottom w:w="0" w:type="dxa"/>
            <w:right w:w="108" w:type="dxa"/>
          </w:tblCellMar>
        </w:tblPrEx>
        <w:trPr>
          <w:trHeight w:val="270" w:hRule="atLeast"/>
          <w:jc w:val="center"/>
        </w:trPr>
        <w:tc>
          <w:tcPr>
            <w:tcW w:w="1627" w:type="dxa"/>
            <w:vMerge w:val="restart"/>
            <w:tcBorders>
              <w:top w:val="single" w:color="auto" w:sz="4" w:space="0"/>
              <w:left w:val="single" w:color="auto" w:sz="4" w:space="0"/>
              <w:right w:val="single" w:color="auto" w:sz="4" w:space="0"/>
            </w:tcBorders>
            <w:shd w:val="clear" w:color="auto" w:fill="9ED3A3"/>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机组类型</w:t>
            </w:r>
          </w:p>
        </w:tc>
        <w:tc>
          <w:tcPr>
            <w:tcW w:w="1364" w:type="dxa"/>
            <w:vMerge w:val="restart"/>
            <w:tcBorders>
              <w:top w:val="single" w:color="auto" w:sz="4" w:space="0"/>
              <w:left w:val="nil"/>
              <w:right w:val="single" w:color="auto" w:sz="4" w:space="0"/>
            </w:tcBorders>
            <w:shd w:val="clear" w:color="auto" w:fill="9ED3A3"/>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能效指标</w:t>
            </w:r>
          </w:p>
        </w:tc>
        <w:tc>
          <w:tcPr>
            <w:tcW w:w="1090" w:type="dxa"/>
            <w:vMerge w:val="restart"/>
            <w:tcBorders>
              <w:top w:val="single" w:color="auto" w:sz="4" w:space="0"/>
              <w:left w:val="nil"/>
              <w:right w:val="single" w:color="auto" w:sz="4" w:space="0"/>
            </w:tcBorders>
            <w:shd w:val="clear" w:color="auto" w:fill="9ED3A3"/>
            <w:noWrap/>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参照标准</w:t>
            </w:r>
          </w:p>
        </w:tc>
        <w:tc>
          <w:tcPr>
            <w:tcW w:w="4424" w:type="dxa"/>
            <w:gridSpan w:val="4"/>
            <w:tcBorders>
              <w:top w:val="single" w:color="auto" w:sz="4" w:space="0"/>
              <w:left w:val="nil"/>
              <w:bottom w:val="single" w:color="auto" w:sz="4" w:space="0"/>
              <w:right w:val="single" w:color="auto" w:sz="4" w:space="0"/>
            </w:tcBorders>
            <w:shd w:val="clear" w:color="auto" w:fill="9ED3A3"/>
            <w:noWrap/>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提高幅度</w:t>
            </w:r>
          </w:p>
        </w:tc>
      </w:tr>
      <w:tr>
        <w:tblPrEx>
          <w:tblCellMar>
            <w:top w:w="0" w:type="dxa"/>
            <w:left w:w="108" w:type="dxa"/>
            <w:bottom w:w="0" w:type="dxa"/>
            <w:right w:w="108" w:type="dxa"/>
          </w:tblCellMar>
        </w:tblPrEx>
        <w:trPr>
          <w:trHeight w:val="270" w:hRule="atLeast"/>
          <w:jc w:val="center"/>
        </w:trPr>
        <w:tc>
          <w:tcPr>
            <w:tcW w:w="1627" w:type="dxa"/>
            <w:vMerge w:val="continue"/>
            <w:tcBorders>
              <w:left w:val="single" w:color="auto" w:sz="4" w:space="0"/>
              <w:bottom w:val="single" w:color="auto" w:sz="4" w:space="0"/>
              <w:right w:val="single" w:color="auto" w:sz="4" w:space="0"/>
            </w:tcBorders>
            <w:shd w:val="clear" w:color="auto" w:fill="9ED3A3"/>
            <w:vAlign w:val="center"/>
          </w:tcPr>
          <w:p>
            <w:pPr>
              <w:widowControl/>
              <w:jc w:val="center"/>
              <w:rPr>
                <w:rFonts w:hint="default" w:ascii="Times New Roman" w:hAnsi="Times New Roman" w:cs="Times New Roman"/>
                <w:color w:val="auto"/>
                <w:kern w:val="0"/>
                <w:szCs w:val="21"/>
                <w:highlight w:val="none"/>
              </w:rPr>
            </w:pPr>
          </w:p>
        </w:tc>
        <w:tc>
          <w:tcPr>
            <w:tcW w:w="1364" w:type="dxa"/>
            <w:vMerge w:val="continue"/>
            <w:tcBorders>
              <w:left w:val="nil"/>
              <w:bottom w:val="single" w:color="auto" w:sz="4" w:space="0"/>
              <w:right w:val="single" w:color="auto" w:sz="4" w:space="0"/>
            </w:tcBorders>
            <w:shd w:val="clear" w:color="auto" w:fill="9ED3A3"/>
            <w:vAlign w:val="center"/>
          </w:tcPr>
          <w:p>
            <w:pPr>
              <w:widowControl/>
              <w:jc w:val="center"/>
              <w:rPr>
                <w:rFonts w:hint="default" w:ascii="Times New Roman" w:hAnsi="Times New Roman" w:cs="Times New Roman"/>
                <w:color w:val="auto"/>
                <w:kern w:val="0"/>
                <w:szCs w:val="21"/>
                <w:highlight w:val="none"/>
              </w:rPr>
            </w:pPr>
          </w:p>
        </w:tc>
        <w:tc>
          <w:tcPr>
            <w:tcW w:w="1090" w:type="dxa"/>
            <w:vMerge w:val="continue"/>
            <w:tcBorders>
              <w:left w:val="nil"/>
              <w:bottom w:val="single" w:color="auto" w:sz="4" w:space="0"/>
              <w:right w:val="single" w:color="auto" w:sz="4" w:space="0"/>
            </w:tcBorders>
            <w:shd w:val="clear" w:color="auto" w:fill="9ED3A3"/>
            <w:noWrap/>
            <w:vAlign w:val="center"/>
          </w:tcPr>
          <w:p>
            <w:pPr>
              <w:widowControl/>
              <w:jc w:val="center"/>
              <w:rPr>
                <w:rFonts w:hint="default" w:ascii="Times New Roman" w:hAnsi="Times New Roman" w:cs="Times New Roman"/>
                <w:color w:val="auto"/>
                <w:kern w:val="0"/>
                <w:szCs w:val="21"/>
                <w:highlight w:val="none"/>
              </w:rPr>
            </w:pPr>
          </w:p>
        </w:tc>
        <w:tc>
          <w:tcPr>
            <w:tcW w:w="982" w:type="dxa"/>
            <w:tcBorders>
              <w:top w:val="single" w:color="auto" w:sz="4" w:space="0"/>
              <w:left w:val="nil"/>
              <w:bottom w:val="single" w:color="auto" w:sz="4" w:space="0"/>
              <w:right w:val="single" w:color="auto" w:sz="4" w:space="0"/>
            </w:tcBorders>
            <w:shd w:val="clear" w:color="auto" w:fill="9ED3A3"/>
            <w:noWrap/>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参数</w:t>
            </w:r>
          </w:p>
        </w:tc>
        <w:tc>
          <w:tcPr>
            <w:tcW w:w="1164" w:type="dxa"/>
            <w:tcBorders>
              <w:top w:val="single" w:color="auto" w:sz="4" w:space="0"/>
              <w:left w:val="nil"/>
              <w:bottom w:val="single" w:color="auto" w:sz="4" w:space="0"/>
              <w:right w:val="single" w:color="auto" w:sz="4" w:space="0"/>
            </w:tcBorders>
            <w:shd w:val="clear" w:color="auto" w:fill="9ED3A3"/>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符合情况</w:t>
            </w:r>
          </w:p>
        </w:tc>
        <w:tc>
          <w:tcPr>
            <w:tcW w:w="1064" w:type="dxa"/>
            <w:tcBorders>
              <w:top w:val="single" w:color="auto" w:sz="4" w:space="0"/>
              <w:left w:val="nil"/>
              <w:bottom w:val="single" w:color="auto" w:sz="4" w:space="0"/>
              <w:right w:val="single" w:color="auto" w:sz="4" w:space="0"/>
            </w:tcBorders>
            <w:shd w:val="clear" w:color="auto" w:fill="9ED3A3"/>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参数</w:t>
            </w:r>
          </w:p>
        </w:tc>
        <w:tc>
          <w:tcPr>
            <w:tcW w:w="1214" w:type="dxa"/>
            <w:tcBorders>
              <w:top w:val="single" w:color="auto" w:sz="4" w:space="0"/>
              <w:left w:val="nil"/>
              <w:bottom w:val="single" w:color="auto" w:sz="4" w:space="0"/>
              <w:right w:val="single" w:color="auto" w:sz="4" w:space="0"/>
            </w:tcBorders>
            <w:shd w:val="clear" w:color="auto" w:fill="9ED3A3"/>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符合情况</w:t>
            </w:r>
          </w:p>
        </w:tc>
      </w:tr>
      <w:tr>
        <w:tblPrEx>
          <w:tblCellMar>
            <w:top w:w="0" w:type="dxa"/>
            <w:left w:w="108" w:type="dxa"/>
            <w:bottom w:w="0" w:type="dxa"/>
            <w:right w:w="108" w:type="dxa"/>
          </w:tblCellMar>
        </w:tblPrEx>
        <w:trPr>
          <w:trHeight w:val="525" w:hRule="atLeast"/>
          <w:jc w:val="center"/>
        </w:trPr>
        <w:tc>
          <w:tcPr>
            <w:tcW w:w="1627" w:type="dxa"/>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电机驱动的蒸汽压缩循环冷水（热泵）机组</w:t>
            </w:r>
          </w:p>
        </w:tc>
        <w:tc>
          <w:tcPr>
            <w:tcW w:w="136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制冷性能系数（COP）</w:t>
            </w:r>
          </w:p>
        </w:tc>
        <w:tc>
          <w:tcPr>
            <w:tcW w:w="1090" w:type="dxa"/>
            <w:vMerge w:val="restart"/>
            <w:tcBorders>
              <w:top w:val="nil"/>
              <w:left w:val="single" w:color="auto" w:sz="4" w:space="0"/>
              <w:bottom w:val="single" w:color="000000"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现行国家标准《建筑节能与可再生能源利用通用规范》GB55015</w:t>
            </w:r>
          </w:p>
        </w:tc>
        <w:tc>
          <w:tcPr>
            <w:tcW w:w="982" w:type="dxa"/>
            <w:tcBorders>
              <w:top w:val="nil"/>
              <w:left w:val="nil"/>
              <w:bottom w:val="single" w:color="auto" w:sz="4" w:space="0"/>
              <w:right w:val="single" w:color="auto" w:sz="4" w:space="0"/>
            </w:tcBorders>
            <w:noWrap/>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提高6%</w:t>
            </w:r>
          </w:p>
        </w:tc>
        <w:tc>
          <w:tcPr>
            <w:tcW w:w="116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是□否</w:t>
            </w:r>
          </w:p>
        </w:tc>
        <w:tc>
          <w:tcPr>
            <w:tcW w:w="1064" w:type="dxa"/>
            <w:tcBorders>
              <w:top w:val="nil"/>
              <w:left w:val="nil"/>
              <w:bottom w:val="single" w:color="auto" w:sz="4" w:space="0"/>
              <w:right w:val="single" w:color="auto" w:sz="4" w:space="0"/>
            </w:tcBorders>
            <w:noWrap/>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提高12%</w:t>
            </w:r>
          </w:p>
        </w:tc>
        <w:tc>
          <w:tcPr>
            <w:tcW w:w="121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CellMar>
            <w:top w:w="0" w:type="dxa"/>
            <w:left w:w="108" w:type="dxa"/>
            <w:bottom w:w="0" w:type="dxa"/>
            <w:right w:w="108" w:type="dxa"/>
          </w:tblCellMar>
        </w:tblPrEx>
        <w:trPr>
          <w:trHeight w:val="540" w:hRule="atLeast"/>
          <w:jc w:val="center"/>
        </w:trPr>
        <w:tc>
          <w:tcPr>
            <w:tcW w:w="1627" w:type="dxa"/>
            <w:tcBorders>
              <w:top w:val="single" w:color="auto" w:sz="4" w:space="0"/>
              <w:left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直燃型溴化锂吸收式冷水机组</w:t>
            </w:r>
          </w:p>
        </w:tc>
        <w:tc>
          <w:tcPr>
            <w:tcW w:w="136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制冷、供热性能系数（COP）</w:t>
            </w:r>
          </w:p>
        </w:tc>
        <w:tc>
          <w:tcPr>
            <w:tcW w:w="1090" w:type="dxa"/>
            <w:vMerge w:val="continue"/>
            <w:tcBorders>
              <w:top w:val="nil"/>
              <w:left w:val="single" w:color="auto" w:sz="4" w:space="0"/>
              <w:bottom w:val="single" w:color="000000" w:sz="4" w:space="0"/>
              <w:right w:val="single" w:color="auto" w:sz="4" w:space="0"/>
            </w:tcBorders>
            <w:vAlign w:val="center"/>
          </w:tcPr>
          <w:p>
            <w:pPr>
              <w:widowControl/>
              <w:jc w:val="left"/>
              <w:rPr>
                <w:rFonts w:hint="default" w:ascii="Times New Roman" w:hAnsi="Times New Roman" w:cs="Times New Roman"/>
                <w:color w:val="auto"/>
                <w:kern w:val="0"/>
                <w:szCs w:val="21"/>
                <w:highlight w:val="none"/>
              </w:rPr>
            </w:pPr>
          </w:p>
        </w:tc>
        <w:tc>
          <w:tcPr>
            <w:tcW w:w="982" w:type="dxa"/>
            <w:tcBorders>
              <w:top w:val="nil"/>
              <w:left w:val="nil"/>
              <w:bottom w:val="single" w:color="auto" w:sz="4" w:space="0"/>
              <w:right w:val="single" w:color="auto" w:sz="4" w:space="0"/>
            </w:tcBorders>
            <w:noWrap/>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提高6%</w:t>
            </w:r>
          </w:p>
        </w:tc>
        <w:tc>
          <w:tcPr>
            <w:tcW w:w="116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064" w:type="dxa"/>
            <w:tcBorders>
              <w:top w:val="nil"/>
              <w:left w:val="nil"/>
              <w:bottom w:val="single" w:color="auto" w:sz="4" w:space="0"/>
              <w:right w:val="single" w:color="auto" w:sz="4" w:space="0"/>
            </w:tcBorders>
            <w:noWrap/>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提高12%</w:t>
            </w:r>
          </w:p>
        </w:tc>
        <w:tc>
          <w:tcPr>
            <w:tcW w:w="121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CellMar>
            <w:top w:w="0" w:type="dxa"/>
            <w:left w:w="108" w:type="dxa"/>
            <w:bottom w:w="0" w:type="dxa"/>
            <w:right w:w="108" w:type="dxa"/>
          </w:tblCellMar>
        </w:tblPrEx>
        <w:trPr>
          <w:trHeight w:val="270" w:hRule="atLeast"/>
          <w:jc w:val="center"/>
        </w:trPr>
        <w:tc>
          <w:tcPr>
            <w:tcW w:w="1627" w:type="dxa"/>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单元式空气调节机、风管送风式和屋顶式空调机组</w:t>
            </w:r>
          </w:p>
        </w:tc>
        <w:tc>
          <w:tcPr>
            <w:tcW w:w="136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制冷季节能效比SEER、全年性能系数APF、综合部分负荷性能系数IPLV</w:t>
            </w:r>
          </w:p>
        </w:tc>
        <w:tc>
          <w:tcPr>
            <w:tcW w:w="1090" w:type="dxa"/>
            <w:vMerge w:val="continue"/>
            <w:tcBorders>
              <w:top w:val="nil"/>
              <w:left w:val="single" w:color="auto" w:sz="4" w:space="0"/>
              <w:bottom w:val="single" w:color="000000" w:sz="4" w:space="0"/>
              <w:right w:val="single" w:color="auto" w:sz="4" w:space="0"/>
            </w:tcBorders>
            <w:vAlign w:val="center"/>
          </w:tcPr>
          <w:p>
            <w:pPr>
              <w:widowControl/>
              <w:jc w:val="left"/>
              <w:rPr>
                <w:rFonts w:hint="default" w:ascii="Times New Roman" w:hAnsi="Times New Roman" w:cs="Times New Roman"/>
                <w:color w:val="auto"/>
                <w:kern w:val="0"/>
                <w:szCs w:val="21"/>
                <w:highlight w:val="none"/>
              </w:rPr>
            </w:pPr>
          </w:p>
        </w:tc>
        <w:tc>
          <w:tcPr>
            <w:tcW w:w="982" w:type="dxa"/>
            <w:tcBorders>
              <w:top w:val="nil"/>
              <w:left w:val="nil"/>
              <w:bottom w:val="single" w:color="auto" w:sz="4" w:space="0"/>
              <w:right w:val="single" w:color="auto" w:sz="4" w:space="0"/>
            </w:tcBorders>
            <w:noWrap/>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提高6%</w:t>
            </w:r>
          </w:p>
        </w:tc>
        <w:tc>
          <w:tcPr>
            <w:tcW w:w="116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是□否</w:t>
            </w:r>
          </w:p>
        </w:tc>
        <w:tc>
          <w:tcPr>
            <w:tcW w:w="1064" w:type="dxa"/>
            <w:tcBorders>
              <w:top w:val="nil"/>
              <w:left w:val="nil"/>
              <w:bottom w:val="single" w:color="auto" w:sz="4" w:space="0"/>
              <w:right w:val="single" w:color="auto" w:sz="4" w:space="0"/>
            </w:tcBorders>
            <w:noWrap/>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提高12%</w:t>
            </w:r>
          </w:p>
        </w:tc>
        <w:tc>
          <w:tcPr>
            <w:tcW w:w="121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CellMar>
            <w:top w:w="0" w:type="dxa"/>
            <w:left w:w="108" w:type="dxa"/>
            <w:bottom w:w="0" w:type="dxa"/>
            <w:right w:w="108" w:type="dxa"/>
          </w:tblCellMar>
        </w:tblPrEx>
        <w:trPr>
          <w:trHeight w:val="540" w:hRule="atLeast"/>
          <w:jc w:val="center"/>
        </w:trPr>
        <w:tc>
          <w:tcPr>
            <w:tcW w:w="1627" w:type="dxa"/>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多联式空调（热泵）机组</w:t>
            </w:r>
          </w:p>
        </w:tc>
        <w:tc>
          <w:tcPr>
            <w:tcW w:w="136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全年性能系数APF、制冷综合部分性能系数IPLV(C)</w:t>
            </w:r>
          </w:p>
        </w:tc>
        <w:tc>
          <w:tcPr>
            <w:tcW w:w="1090" w:type="dxa"/>
            <w:vMerge w:val="continue"/>
            <w:tcBorders>
              <w:top w:val="nil"/>
              <w:left w:val="single" w:color="auto" w:sz="4" w:space="0"/>
              <w:bottom w:val="single" w:color="000000" w:sz="4" w:space="0"/>
              <w:right w:val="single" w:color="auto" w:sz="4" w:space="0"/>
            </w:tcBorders>
            <w:vAlign w:val="center"/>
          </w:tcPr>
          <w:p>
            <w:pPr>
              <w:widowControl/>
              <w:jc w:val="left"/>
              <w:rPr>
                <w:rFonts w:hint="default" w:ascii="Times New Roman" w:hAnsi="Times New Roman" w:cs="Times New Roman"/>
                <w:color w:val="auto"/>
                <w:kern w:val="0"/>
                <w:szCs w:val="21"/>
                <w:highlight w:val="none"/>
              </w:rPr>
            </w:pPr>
          </w:p>
        </w:tc>
        <w:tc>
          <w:tcPr>
            <w:tcW w:w="982" w:type="dxa"/>
            <w:tcBorders>
              <w:top w:val="nil"/>
              <w:left w:val="nil"/>
              <w:bottom w:val="single" w:color="auto" w:sz="4" w:space="0"/>
              <w:right w:val="single" w:color="auto" w:sz="4" w:space="0"/>
            </w:tcBorders>
            <w:noWrap/>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提高8%</w:t>
            </w:r>
          </w:p>
        </w:tc>
        <w:tc>
          <w:tcPr>
            <w:tcW w:w="116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eastAsia="zh-CN"/>
              </w:rPr>
              <w:t>□</w:t>
            </w:r>
            <w:r>
              <w:rPr>
                <w:rFonts w:hint="default" w:ascii="Times New Roman" w:hAnsi="Times New Roman" w:cs="Times New Roman"/>
                <w:color w:val="auto"/>
                <w:kern w:val="0"/>
                <w:szCs w:val="21"/>
                <w:highlight w:val="none"/>
              </w:rPr>
              <w:t>是□否</w:t>
            </w:r>
          </w:p>
        </w:tc>
        <w:tc>
          <w:tcPr>
            <w:tcW w:w="1064" w:type="dxa"/>
            <w:tcBorders>
              <w:top w:val="nil"/>
              <w:left w:val="nil"/>
              <w:bottom w:val="single" w:color="auto" w:sz="4" w:space="0"/>
              <w:right w:val="single" w:color="auto" w:sz="4" w:space="0"/>
            </w:tcBorders>
            <w:noWrap/>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提高16%</w:t>
            </w:r>
          </w:p>
        </w:tc>
        <w:tc>
          <w:tcPr>
            <w:tcW w:w="121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CellMar>
            <w:top w:w="0" w:type="dxa"/>
            <w:left w:w="108" w:type="dxa"/>
            <w:bottom w:w="0" w:type="dxa"/>
            <w:right w:w="108" w:type="dxa"/>
          </w:tblCellMar>
        </w:tblPrEx>
        <w:trPr>
          <w:trHeight w:val="540" w:hRule="atLeast"/>
          <w:jc w:val="center"/>
        </w:trPr>
        <w:tc>
          <w:tcPr>
            <w:tcW w:w="1627" w:type="dxa"/>
            <w:tcBorders>
              <w:top w:val="nil"/>
              <w:left w:val="single" w:color="auto" w:sz="4" w:space="0"/>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燃油燃气锅炉</w:t>
            </w:r>
          </w:p>
        </w:tc>
        <w:tc>
          <w:tcPr>
            <w:tcW w:w="136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热效率</w:t>
            </w:r>
          </w:p>
        </w:tc>
        <w:tc>
          <w:tcPr>
            <w:tcW w:w="1090" w:type="dxa"/>
            <w:vMerge w:val="continue"/>
            <w:tcBorders>
              <w:top w:val="nil"/>
              <w:left w:val="single" w:color="auto" w:sz="4" w:space="0"/>
              <w:bottom w:val="single" w:color="000000" w:sz="4" w:space="0"/>
              <w:right w:val="single" w:color="auto" w:sz="4" w:space="0"/>
            </w:tcBorders>
            <w:vAlign w:val="center"/>
          </w:tcPr>
          <w:p>
            <w:pPr>
              <w:widowControl/>
              <w:jc w:val="left"/>
              <w:rPr>
                <w:rFonts w:hint="default" w:ascii="Times New Roman" w:hAnsi="Times New Roman" w:cs="Times New Roman"/>
                <w:color w:val="auto"/>
                <w:kern w:val="0"/>
                <w:szCs w:val="21"/>
                <w:highlight w:val="none"/>
              </w:rPr>
            </w:pPr>
          </w:p>
        </w:tc>
        <w:tc>
          <w:tcPr>
            <w:tcW w:w="982"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提高2个百分点</w:t>
            </w:r>
          </w:p>
        </w:tc>
        <w:tc>
          <w:tcPr>
            <w:tcW w:w="116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06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提高4个百分点</w:t>
            </w:r>
          </w:p>
        </w:tc>
        <w:tc>
          <w:tcPr>
            <w:tcW w:w="121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CellMar>
            <w:top w:w="0" w:type="dxa"/>
            <w:left w:w="108" w:type="dxa"/>
            <w:bottom w:w="0" w:type="dxa"/>
            <w:right w:w="108" w:type="dxa"/>
          </w:tblCellMar>
        </w:tblPrEx>
        <w:trPr>
          <w:trHeight w:val="540" w:hRule="atLeast"/>
          <w:jc w:val="center"/>
        </w:trPr>
        <w:tc>
          <w:tcPr>
            <w:tcW w:w="1627" w:type="dxa"/>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房间空气调节器</w:t>
            </w:r>
          </w:p>
        </w:tc>
        <w:tc>
          <w:tcPr>
            <w:tcW w:w="136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能效比（EER）、能源消耗率</w:t>
            </w:r>
          </w:p>
        </w:tc>
        <w:tc>
          <w:tcPr>
            <w:tcW w:w="1090" w:type="dxa"/>
            <w:vMerge w:val="restart"/>
            <w:tcBorders>
              <w:top w:val="nil"/>
              <w:left w:val="single" w:color="auto" w:sz="4" w:space="0"/>
              <w:bottom w:val="single" w:color="000000"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现行有关国家标准</w:t>
            </w:r>
          </w:p>
        </w:tc>
        <w:tc>
          <w:tcPr>
            <w:tcW w:w="982" w:type="dxa"/>
            <w:vMerge w:val="restart"/>
            <w:tcBorders>
              <w:top w:val="nil"/>
              <w:left w:val="single" w:color="auto" w:sz="4" w:space="0"/>
              <w:bottom w:val="single" w:color="000000" w:sz="4" w:space="0"/>
              <w:right w:val="single" w:color="auto" w:sz="4" w:space="0"/>
            </w:tcBorders>
            <w:noWrap/>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2级能效等级</w:t>
            </w:r>
          </w:p>
        </w:tc>
        <w:tc>
          <w:tcPr>
            <w:tcW w:w="1164" w:type="dxa"/>
            <w:vMerge w:val="restart"/>
            <w:tcBorders>
              <w:top w:val="nil"/>
              <w:left w:val="single" w:color="auto" w:sz="4" w:space="0"/>
              <w:bottom w:val="single" w:color="000000"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lang w:val="zh-CN"/>
              </w:rPr>
              <w:t>■</w:t>
            </w:r>
            <w:r>
              <w:rPr>
                <w:rFonts w:hint="default" w:ascii="Times New Roman" w:hAnsi="Times New Roman" w:cs="Times New Roman"/>
                <w:color w:val="auto"/>
                <w:kern w:val="0"/>
                <w:szCs w:val="21"/>
                <w:highlight w:val="none"/>
              </w:rPr>
              <w:t>是□否</w:t>
            </w:r>
          </w:p>
        </w:tc>
        <w:tc>
          <w:tcPr>
            <w:tcW w:w="1064" w:type="dxa"/>
            <w:vMerge w:val="restart"/>
            <w:tcBorders>
              <w:top w:val="nil"/>
              <w:left w:val="single" w:color="auto" w:sz="4" w:space="0"/>
              <w:bottom w:val="single" w:color="000000" w:sz="4" w:space="0"/>
              <w:right w:val="single" w:color="auto" w:sz="4" w:space="0"/>
            </w:tcBorders>
            <w:noWrap/>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1级能效等级</w:t>
            </w:r>
          </w:p>
        </w:tc>
        <w:tc>
          <w:tcPr>
            <w:tcW w:w="1214" w:type="dxa"/>
            <w:vMerge w:val="restart"/>
            <w:tcBorders>
              <w:top w:val="nil"/>
              <w:left w:val="single" w:color="auto" w:sz="4" w:space="0"/>
              <w:bottom w:val="single" w:color="000000"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r>
      <w:tr>
        <w:tblPrEx>
          <w:tblCellMar>
            <w:top w:w="0" w:type="dxa"/>
            <w:left w:w="108" w:type="dxa"/>
            <w:bottom w:w="0" w:type="dxa"/>
            <w:right w:w="108" w:type="dxa"/>
          </w:tblCellMar>
        </w:tblPrEx>
        <w:trPr>
          <w:trHeight w:val="270" w:hRule="atLeast"/>
          <w:jc w:val="center"/>
        </w:trPr>
        <w:tc>
          <w:tcPr>
            <w:tcW w:w="1627" w:type="dxa"/>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家用燃气热水炉</w:t>
            </w:r>
          </w:p>
        </w:tc>
        <w:tc>
          <w:tcPr>
            <w:tcW w:w="1364" w:type="dxa"/>
            <w:tcBorders>
              <w:top w:val="nil"/>
              <w:left w:val="nil"/>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热效率值（η）</w:t>
            </w:r>
          </w:p>
        </w:tc>
        <w:tc>
          <w:tcPr>
            <w:tcW w:w="1090" w:type="dxa"/>
            <w:vMerge w:val="continue"/>
            <w:tcBorders>
              <w:top w:val="nil"/>
              <w:left w:val="single" w:color="auto" w:sz="4" w:space="0"/>
              <w:bottom w:val="single" w:color="000000" w:sz="4" w:space="0"/>
              <w:right w:val="single" w:color="auto" w:sz="4" w:space="0"/>
            </w:tcBorders>
            <w:vAlign w:val="center"/>
          </w:tcPr>
          <w:p>
            <w:pPr>
              <w:widowControl/>
              <w:jc w:val="left"/>
              <w:rPr>
                <w:rFonts w:hint="default" w:ascii="Times New Roman" w:hAnsi="Times New Roman" w:cs="Times New Roman"/>
                <w:color w:val="auto"/>
                <w:kern w:val="0"/>
                <w:szCs w:val="21"/>
                <w:highlight w:val="none"/>
              </w:rPr>
            </w:pPr>
          </w:p>
        </w:tc>
        <w:tc>
          <w:tcPr>
            <w:tcW w:w="982" w:type="dxa"/>
            <w:vMerge w:val="continue"/>
            <w:tcBorders>
              <w:top w:val="nil"/>
              <w:left w:val="single" w:color="auto" w:sz="4" w:space="0"/>
              <w:bottom w:val="single" w:color="000000" w:sz="4" w:space="0"/>
              <w:right w:val="single" w:color="auto" w:sz="4" w:space="0"/>
            </w:tcBorders>
            <w:vAlign w:val="center"/>
          </w:tcPr>
          <w:p>
            <w:pPr>
              <w:widowControl/>
              <w:jc w:val="left"/>
              <w:rPr>
                <w:rFonts w:hint="default" w:ascii="Times New Roman" w:hAnsi="Times New Roman" w:cs="Times New Roman"/>
                <w:color w:val="auto"/>
                <w:kern w:val="0"/>
                <w:szCs w:val="21"/>
                <w:highlight w:val="none"/>
              </w:rPr>
            </w:pPr>
          </w:p>
        </w:tc>
        <w:tc>
          <w:tcPr>
            <w:tcW w:w="1164" w:type="dxa"/>
            <w:vMerge w:val="continue"/>
            <w:tcBorders>
              <w:top w:val="nil"/>
              <w:left w:val="single" w:color="auto" w:sz="4" w:space="0"/>
              <w:bottom w:val="single" w:color="000000" w:sz="4" w:space="0"/>
              <w:right w:val="single" w:color="auto" w:sz="4" w:space="0"/>
            </w:tcBorders>
            <w:vAlign w:val="center"/>
          </w:tcPr>
          <w:p>
            <w:pPr>
              <w:widowControl/>
              <w:jc w:val="left"/>
              <w:rPr>
                <w:rFonts w:hint="default" w:ascii="Times New Roman" w:hAnsi="Times New Roman" w:cs="Times New Roman"/>
                <w:color w:val="auto"/>
                <w:kern w:val="0"/>
                <w:szCs w:val="21"/>
                <w:highlight w:val="none"/>
              </w:rPr>
            </w:pPr>
          </w:p>
        </w:tc>
        <w:tc>
          <w:tcPr>
            <w:tcW w:w="1064" w:type="dxa"/>
            <w:vMerge w:val="continue"/>
            <w:tcBorders>
              <w:top w:val="nil"/>
              <w:left w:val="single" w:color="auto" w:sz="4" w:space="0"/>
              <w:bottom w:val="single" w:color="000000" w:sz="4" w:space="0"/>
              <w:right w:val="single" w:color="auto" w:sz="4" w:space="0"/>
            </w:tcBorders>
            <w:vAlign w:val="center"/>
          </w:tcPr>
          <w:p>
            <w:pPr>
              <w:widowControl/>
              <w:jc w:val="left"/>
              <w:rPr>
                <w:rFonts w:hint="default" w:ascii="Times New Roman" w:hAnsi="Times New Roman" w:cs="Times New Roman"/>
                <w:color w:val="auto"/>
                <w:kern w:val="0"/>
                <w:szCs w:val="21"/>
                <w:highlight w:val="none"/>
              </w:rPr>
            </w:pPr>
          </w:p>
        </w:tc>
        <w:tc>
          <w:tcPr>
            <w:tcW w:w="1214" w:type="dxa"/>
            <w:vMerge w:val="continue"/>
            <w:tcBorders>
              <w:top w:val="nil"/>
              <w:left w:val="single" w:color="auto" w:sz="4" w:space="0"/>
              <w:bottom w:val="single" w:color="000000" w:sz="4" w:space="0"/>
              <w:right w:val="single" w:color="auto" w:sz="4" w:space="0"/>
            </w:tcBorders>
            <w:vAlign w:val="center"/>
          </w:tcPr>
          <w:p>
            <w:pPr>
              <w:widowControl/>
              <w:jc w:val="left"/>
              <w:rPr>
                <w:rFonts w:hint="default" w:ascii="Times New Roman" w:hAnsi="Times New Roman" w:cs="Times New Roman"/>
                <w:color w:val="auto"/>
                <w:kern w:val="0"/>
                <w:szCs w:val="21"/>
                <w:highlight w:val="none"/>
              </w:rPr>
            </w:pPr>
          </w:p>
        </w:tc>
      </w:tr>
      <w:tr>
        <w:tblPrEx>
          <w:tblCellMar>
            <w:top w:w="0" w:type="dxa"/>
            <w:left w:w="108" w:type="dxa"/>
            <w:bottom w:w="0" w:type="dxa"/>
            <w:right w:w="108" w:type="dxa"/>
          </w:tblCellMar>
        </w:tblPrEx>
        <w:trPr>
          <w:trHeight w:val="540" w:hRule="atLeast"/>
          <w:jc w:val="center"/>
        </w:trPr>
        <w:tc>
          <w:tcPr>
            <w:tcW w:w="1627" w:type="dxa"/>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蒸汽型溴化锂吸收式冷水机组</w:t>
            </w:r>
          </w:p>
        </w:tc>
        <w:tc>
          <w:tcPr>
            <w:tcW w:w="1364" w:type="dxa"/>
            <w:tcBorders>
              <w:top w:val="nil"/>
              <w:left w:val="nil"/>
              <w:bottom w:val="nil"/>
              <w:right w:val="single" w:color="auto" w:sz="4" w:space="0"/>
            </w:tcBorders>
            <w:vAlign w:val="center"/>
          </w:tcPr>
          <w:p>
            <w:pPr>
              <w:widowControl/>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制冷、供热性能系数（COP）</w:t>
            </w:r>
          </w:p>
        </w:tc>
        <w:tc>
          <w:tcPr>
            <w:tcW w:w="1090" w:type="dxa"/>
            <w:vMerge w:val="continue"/>
            <w:tcBorders>
              <w:top w:val="nil"/>
              <w:left w:val="single" w:color="auto" w:sz="4" w:space="0"/>
              <w:bottom w:val="nil"/>
              <w:right w:val="single" w:color="auto" w:sz="4" w:space="0"/>
            </w:tcBorders>
            <w:vAlign w:val="center"/>
          </w:tcPr>
          <w:p>
            <w:pPr>
              <w:widowControl/>
              <w:jc w:val="left"/>
              <w:rPr>
                <w:rFonts w:hint="default" w:ascii="Times New Roman" w:hAnsi="Times New Roman" w:cs="Times New Roman"/>
                <w:color w:val="auto"/>
                <w:kern w:val="0"/>
                <w:szCs w:val="21"/>
                <w:highlight w:val="none"/>
              </w:rPr>
            </w:pPr>
          </w:p>
        </w:tc>
        <w:tc>
          <w:tcPr>
            <w:tcW w:w="982" w:type="dxa"/>
            <w:vMerge w:val="continue"/>
            <w:tcBorders>
              <w:top w:val="nil"/>
              <w:left w:val="single" w:color="auto" w:sz="4" w:space="0"/>
              <w:bottom w:val="nil"/>
              <w:right w:val="single" w:color="auto" w:sz="4" w:space="0"/>
            </w:tcBorders>
            <w:vAlign w:val="center"/>
          </w:tcPr>
          <w:p>
            <w:pPr>
              <w:widowControl/>
              <w:jc w:val="left"/>
              <w:rPr>
                <w:rFonts w:hint="default" w:ascii="Times New Roman" w:hAnsi="Times New Roman" w:cs="Times New Roman"/>
                <w:color w:val="auto"/>
                <w:kern w:val="0"/>
                <w:szCs w:val="21"/>
                <w:highlight w:val="none"/>
              </w:rPr>
            </w:pPr>
          </w:p>
        </w:tc>
        <w:tc>
          <w:tcPr>
            <w:tcW w:w="1164" w:type="dxa"/>
            <w:vMerge w:val="continue"/>
            <w:tcBorders>
              <w:top w:val="nil"/>
              <w:left w:val="single" w:color="auto" w:sz="4" w:space="0"/>
              <w:bottom w:val="nil"/>
              <w:right w:val="single" w:color="auto" w:sz="4" w:space="0"/>
            </w:tcBorders>
            <w:vAlign w:val="center"/>
          </w:tcPr>
          <w:p>
            <w:pPr>
              <w:widowControl/>
              <w:jc w:val="left"/>
              <w:rPr>
                <w:rFonts w:hint="default" w:ascii="Times New Roman" w:hAnsi="Times New Roman" w:cs="Times New Roman"/>
                <w:color w:val="auto"/>
                <w:kern w:val="0"/>
                <w:szCs w:val="21"/>
                <w:highlight w:val="none"/>
              </w:rPr>
            </w:pPr>
          </w:p>
        </w:tc>
        <w:tc>
          <w:tcPr>
            <w:tcW w:w="1064" w:type="dxa"/>
            <w:vMerge w:val="continue"/>
            <w:tcBorders>
              <w:top w:val="nil"/>
              <w:left w:val="single" w:color="auto" w:sz="4" w:space="0"/>
              <w:bottom w:val="nil"/>
              <w:right w:val="single" w:color="auto" w:sz="4" w:space="0"/>
            </w:tcBorders>
            <w:vAlign w:val="center"/>
          </w:tcPr>
          <w:p>
            <w:pPr>
              <w:widowControl/>
              <w:jc w:val="left"/>
              <w:rPr>
                <w:rFonts w:hint="default" w:ascii="Times New Roman" w:hAnsi="Times New Roman" w:cs="Times New Roman"/>
                <w:color w:val="auto"/>
                <w:kern w:val="0"/>
                <w:szCs w:val="21"/>
                <w:highlight w:val="none"/>
              </w:rPr>
            </w:pPr>
          </w:p>
        </w:tc>
        <w:tc>
          <w:tcPr>
            <w:tcW w:w="1214" w:type="dxa"/>
            <w:vMerge w:val="continue"/>
            <w:tcBorders>
              <w:top w:val="nil"/>
              <w:left w:val="single" w:color="auto" w:sz="4" w:space="0"/>
              <w:bottom w:val="nil"/>
              <w:right w:val="single" w:color="auto" w:sz="4" w:space="0"/>
            </w:tcBorders>
            <w:vAlign w:val="center"/>
          </w:tcPr>
          <w:p>
            <w:pPr>
              <w:widowControl/>
              <w:jc w:val="left"/>
              <w:rPr>
                <w:rFonts w:hint="default" w:ascii="Times New Roman" w:hAnsi="Times New Roman" w:cs="Times New Roman"/>
                <w:color w:val="auto"/>
                <w:kern w:val="0"/>
                <w:szCs w:val="21"/>
                <w:highlight w:val="none"/>
              </w:rPr>
            </w:pPr>
          </w:p>
        </w:tc>
      </w:tr>
      <w:tr>
        <w:tblPrEx>
          <w:tblCellMar>
            <w:top w:w="0" w:type="dxa"/>
            <w:left w:w="108" w:type="dxa"/>
            <w:bottom w:w="0" w:type="dxa"/>
            <w:right w:w="108" w:type="dxa"/>
          </w:tblCellMar>
        </w:tblPrEx>
        <w:trPr>
          <w:trHeight w:val="1321" w:hRule="exact"/>
          <w:jc w:val="center"/>
        </w:trPr>
        <w:tc>
          <w:tcPr>
            <w:tcW w:w="8505" w:type="dxa"/>
            <w:gridSpan w:val="7"/>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注：1）二星级能效指标的提高幅度应满足第一列参数要求；三星级能效指标的提高幅度应满足第二列参数要求。</w:t>
            </w:r>
          </w:p>
          <w:p>
            <w:pPr>
              <w:widowControl/>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2）机组性能应满足浙江省《公共建筑节能设计标准》DB33/1036的要求。</w:t>
            </w:r>
          </w:p>
        </w:tc>
      </w:tr>
    </w:tbl>
    <w:p>
      <w:pPr>
        <w:spacing w:line="360" w:lineRule="auto"/>
        <w:ind w:left="426"/>
        <w:rPr>
          <w:rFonts w:hint="default" w:ascii="Times New Roman" w:hAnsi="Times New Roman" w:cs="Times New Roman"/>
          <w:color w:val="auto"/>
          <w:sz w:val="24"/>
          <w:szCs w:val="24"/>
          <w:highlight w:val="none"/>
        </w:rPr>
      </w:pPr>
    </w:p>
    <w:p>
      <w:pPr>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br w:type="page"/>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电机驱动的蒸气压缩循环冷水（热泵）机组：</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8"/>
        <w:gridCol w:w="1667"/>
        <w:gridCol w:w="745"/>
        <w:gridCol w:w="2135"/>
        <w:gridCol w:w="983"/>
        <w:gridCol w:w="1214"/>
        <w:gridCol w:w="10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2335" w:type="dxa"/>
            <w:gridSpan w:val="2"/>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类型</w:t>
            </w:r>
          </w:p>
        </w:tc>
        <w:tc>
          <w:tcPr>
            <w:tcW w:w="745"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设备型号</w:t>
            </w:r>
          </w:p>
        </w:tc>
        <w:tc>
          <w:tcPr>
            <w:tcW w:w="2135"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名义制冷量CC（kW）</w:t>
            </w:r>
          </w:p>
        </w:tc>
        <w:tc>
          <w:tcPr>
            <w:tcW w:w="2197" w:type="dxa"/>
            <w:gridSpan w:val="2"/>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性能系数COP（W/W）</w:t>
            </w:r>
          </w:p>
        </w:tc>
        <w:tc>
          <w:tcPr>
            <w:tcW w:w="1093"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提高幅度（%）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2335" w:type="dxa"/>
            <w:gridSpan w:val="2"/>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45"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2135"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983"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设计值</w:t>
            </w:r>
          </w:p>
        </w:tc>
        <w:tc>
          <w:tcPr>
            <w:tcW w:w="1214"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标准规定</w:t>
            </w:r>
          </w:p>
        </w:tc>
        <w:tc>
          <w:tcPr>
            <w:tcW w:w="1093"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668"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水冷</w:t>
            </w:r>
          </w:p>
        </w:tc>
        <w:tc>
          <w:tcPr>
            <w:tcW w:w="1667"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活塞式/涡旋式</w:t>
            </w:r>
          </w:p>
        </w:tc>
        <w:tc>
          <w:tcPr>
            <w:tcW w:w="74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3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98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668"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667"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螺杆式</w:t>
            </w:r>
          </w:p>
        </w:tc>
        <w:tc>
          <w:tcPr>
            <w:tcW w:w="74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3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98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668"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66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4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3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98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668"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66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4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3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98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668"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667"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离心式</w:t>
            </w:r>
          </w:p>
        </w:tc>
        <w:tc>
          <w:tcPr>
            <w:tcW w:w="74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3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98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668"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66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4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3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98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668"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66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4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3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98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668"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风冷或蒸发冷却</w:t>
            </w:r>
          </w:p>
        </w:tc>
        <w:tc>
          <w:tcPr>
            <w:tcW w:w="1667"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活塞式/涡旋式</w:t>
            </w:r>
          </w:p>
        </w:tc>
        <w:tc>
          <w:tcPr>
            <w:tcW w:w="74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3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98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668"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66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4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3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98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668"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667"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螺杆式</w:t>
            </w:r>
          </w:p>
        </w:tc>
        <w:tc>
          <w:tcPr>
            <w:tcW w:w="74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3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98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668"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66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4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3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98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bl>
    <w:p>
      <w:pPr>
        <w:pStyle w:val="21"/>
        <w:spacing w:line="288" w:lineRule="auto"/>
        <w:ind w:left="485" w:hanging="484" w:hangingChars="202"/>
        <w:outlineLvl w:val="9"/>
        <w:rPr>
          <w:rFonts w:hint="default" w:ascii="Times New Roman" w:hAnsi="Times New Roman" w:cs="Times New Roman"/>
          <w:color w:val="auto"/>
          <w:szCs w:val="21"/>
          <w:highlight w:val="none"/>
        </w:rPr>
      </w:pP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溴化锂吸收式冷（温）水机组：</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7"/>
        <w:gridCol w:w="720"/>
        <w:gridCol w:w="1438"/>
        <w:gridCol w:w="1727"/>
        <w:gridCol w:w="1775"/>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477"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类型</w:t>
            </w:r>
          </w:p>
        </w:tc>
        <w:tc>
          <w:tcPr>
            <w:tcW w:w="720"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设备型号</w:t>
            </w:r>
          </w:p>
        </w:tc>
        <w:tc>
          <w:tcPr>
            <w:tcW w:w="1438"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工况类别</w:t>
            </w:r>
          </w:p>
        </w:tc>
        <w:tc>
          <w:tcPr>
            <w:tcW w:w="3502" w:type="dxa"/>
            <w:gridSpan w:val="2"/>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性能系数（W/W）</w:t>
            </w:r>
          </w:p>
        </w:tc>
        <w:tc>
          <w:tcPr>
            <w:tcW w:w="1368"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提高幅度（%）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47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20"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438" w:type="dxa"/>
            <w:vMerge w:val="continue"/>
          </w:tcPr>
          <w:p>
            <w:pPr>
              <w:widowControl/>
              <w:spacing w:line="288" w:lineRule="auto"/>
              <w:jc w:val="center"/>
              <w:rPr>
                <w:rFonts w:hint="default" w:ascii="Times New Roman" w:hAnsi="Times New Roman" w:cs="Times New Roman"/>
                <w:color w:val="auto"/>
                <w:kern w:val="0"/>
                <w:szCs w:val="21"/>
                <w:highlight w:val="none"/>
              </w:rPr>
            </w:pPr>
          </w:p>
        </w:tc>
        <w:tc>
          <w:tcPr>
            <w:tcW w:w="1727"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设计值</w:t>
            </w:r>
          </w:p>
        </w:tc>
        <w:tc>
          <w:tcPr>
            <w:tcW w:w="1775"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标准要求</w:t>
            </w:r>
          </w:p>
        </w:tc>
        <w:tc>
          <w:tcPr>
            <w:tcW w:w="1368" w:type="dxa"/>
            <w:vMerge w:val="continue"/>
          </w:tcPr>
          <w:p>
            <w:pPr>
              <w:widowControl/>
              <w:spacing w:line="288"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1477"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直燃型</w:t>
            </w:r>
          </w:p>
        </w:tc>
        <w:tc>
          <w:tcPr>
            <w:tcW w:w="720" w:type="dxa"/>
            <w:vMerge w:val="restart"/>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438"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制冷工况</w:t>
            </w:r>
          </w:p>
        </w:tc>
        <w:tc>
          <w:tcPr>
            <w:tcW w:w="172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7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36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147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20" w:type="dxa"/>
            <w:vMerge w:val="continue"/>
          </w:tcPr>
          <w:p>
            <w:pPr>
              <w:widowControl/>
              <w:spacing w:line="288" w:lineRule="auto"/>
              <w:jc w:val="center"/>
              <w:rPr>
                <w:rFonts w:hint="default" w:ascii="Times New Roman" w:hAnsi="Times New Roman" w:cs="Times New Roman"/>
                <w:color w:val="auto"/>
                <w:kern w:val="0"/>
                <w:szCs w:val="21"/>
                <w:highlight w:val="none"/>
              </w:rPr>
            </w:pPr>
          </w:p>
        </w:tc>
        <w:tc>
          <w:tcPr>
            <w:tcW w:w="1438"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供热工况</w:t>
            </w:r>
          </w:p>
        </w:tc>
        <w:tc>
          <w:tcPr>
            <w:tcW w:w="172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7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36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147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20" w:type="dxa"/>
            <w:vMerge w:val="restart"/>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438"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制冷工况</w:t>
            </w:r>
          </w:p>
        </w:tc>
        <w:tc>
          <w:tcPr>
            <w:tcW w:w="172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7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36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147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20"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438"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供热工况</w:t>
            </w:r>
          </w:p>
        </w:tc>
        <w:tc>
          <w:tcPr>
            <w:tcW w:w="172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7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36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477"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类型</w:t>
            </w:r>
          </w:p>
        </w:tc>
        <w:tc>
          <w:tcPr>
            <w:tcW w:w="720"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设备型号</w:t>
            </w:r>
          </w:p>
        </w:tc>
        <w:tc>
          <w:tcPr>
            <w:tcW w:w="1438"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蒸汽压力</w:t>
            </w:r>
          </w:p>
          <w:p>
            <w:pPr>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（MPa）</w:t>
            </w:r>
          </w:p>
        </w:tc>
        <w:tc>
          <w:tcPr>
            <w:tcW w:w="3502" w:type="dxa"/>
            <w:gridSpan w:val="2"/>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单位制冷量蒸汽耗量（kg/(h·kW)）</w:t>
            </w:r>
          </w:p>
        </w:tc>
        <w:tc>
          <w:tcPr>
            <w:tcW w:w="1368" w:type="dxa"/>
            <w:vMerge w:val="restart"/>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降低幅度（%）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47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20"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438"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727"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设计值</w:t>
            </w:r>
          </w:p>
        </w:tc>
        <w:tc>
          <w:tcPr>
            <w:tcW w:w="1775"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标准要求</w:t>
            </w:r>
          </w:p>
        </w:tc>
        <w:tc>
          <w:tcPr>
            <w:tcW w:w="1368" w:type="dxa"/>
            <w:vMerge w:val="continue"/>
          </w:tcPr>
          <w:p>
            <w:pPr>
              <w:widowControl/>
              <w:spacing w:line="288"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1477"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蒸汽单效型</w:t>
            </w:r>
          </w:p>
        </w:tc>
        <w:tc>
          <w:tcPr>
            <w:tcW w:w="720"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43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2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7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36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147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20"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43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2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7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36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1477"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蒸汽双效型</w:t>
            </w:r>
          </w:p>
        </w:tc>
        <w:tc>
          <w:tcPr>
            <w:tcW w:w="720"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43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2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7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36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147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20"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43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2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7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36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bl>
    <w:p>
      <w:pPr>
        <w:pStyle w:val="21"/>
        <w:spacing w:line="288" w:lineRule="auto"/>
        <w:ind w:left="485" w:hanging="484" w:hangingChars="202"/>
        <w:outlineLvl w:val="9"/>
        <w:rPr>
          <w:rFonts w:hint="default" w:ascii="Times New Roman" w:hAnsi="Times New Roman" w:cs="Times New Roman"/>
          <w:color w:val="auto"/>
          <w:szCs w:val="21"/>
          <w:highlight w:val="none"/>
        </w:rPr>
      </w:pPr>
    </w:p>
    <w:p>
      <w:pPr>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br w:type="page"/>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单元式空气调节机、风管送风式和屋顶式空调机组：</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2"/>
        <w:gridCol w:w="1280"/>
        <w:gridCol w:w="753"/>
        <w:gridCol w:w="1717"/>
        <w:gridCol w:w="1586"/>
        <w:gridCol w:w="1298"/>
        <w:gridCol w:w="11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2002" w:type="dxa"/>
            <w:gridSpan w:val="2"/>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类型</w:t>
            </w:r>
          </w:p>
        </w:tc>
        <w:tc>
          <w:tcPr>
            <w:tcW w:w="753"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设备型号</w:t>
            </w:r>
          </w:p>
        </w:tc>
        <w:tc>
          <w:tcPr>
            <w:tcW w:w="1717"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名义制冷量CC（kW）</w:t>
            </w:r>
          </w:p>
        </w:tc>
        <w:tc>
          <w:tcPr>
            <w:tcW w:w="2884" w:type="dxa"/>
            <w:gridSpan w:val="2"/>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能效比EER（W/W）</w:t>
            </w:r>
          </w:p>
        </w:tc>
        <w:tc>
          <w:tcPr>
            <w:tcW w:w="1149"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提高幅度（%）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2002" w:type="dxa"/>
            <w:gridSpan w:val="2"/>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53"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71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586"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设计值</w:t>
            </w:r>
          </w:p>
        </w:tc>
        <w:tc>
          <w:tcPr>
            <w:tcW w:w="1298"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标准规定</w:t>
            </w:r>
          </w:p>
        </w:tc>
        <w:tc>
          <w:tcPr>
            <w:tcW w:w="1149"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722" w:type="dxa"/>
            <w:vMerge w:val="restart"/>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风冷</w:t>
            </w:r>
          </w:p>
        </w:tc>
        <w:tc>
          <w:tcPr>
            <w:tcW w:w="1280"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不接风管</w:t>
            </w:r>
          </w:p>
        </w:tc>
        <w:tc>
          <w:tcPr>
            <w:tcW w:w="75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1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586"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9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4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722"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1280"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5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1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586"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9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4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722"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1280"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接风管</w:t>
            </w:r>
          </w:p>
        </w:tc>
        <w:tc>
          <w:tcPr>
            <w:tcW w:w="75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1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586"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9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4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722"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1280"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5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1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586"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9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4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722"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水冷</w:t>
            </w:r>
          </w:p>
        </w:tc>
        <w:tc>
          <w:tcPr>
            <w:tcW w:w="1280"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不接风管</w:t>
            </w:r>
          </w:p>
        </w:tc>
        <w:tc>
          <w:tcPr>
            <w:tcW w:w="75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1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586"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9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4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722"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1280"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5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1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586"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9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4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722"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1280"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接风管</w:t>
            </w:r>
          </w:p>
        </w:tc>
        <w:tc>
          <w:tcPr>
            <w:tcW w:w="75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1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586"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9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4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722"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1280"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53"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71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586"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98"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4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bl>
    <w:p>
      <w:pPr>
        <w:pStyle w:val="21"/>
        <w:spacing w:line="288" w:lineRule="auto"/>
        <w:ind w:left="485" w:hanging="484" w:hangingChars="202"/>
        <w:outlineLvl w:val="9"/>
        <w:rPr>
          <w:rFonts w:hint="default" w:ascii="Times New Roman" w:hAnsi="Times New Roman" w:cs="Times New Roman"/>
          <w:color w:val="auto"/>
          <w:szCs w:val="21"/>
          <w:highlight w:val="none"/>
        </w:rPr>
      </w:pP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风冷多联式空调（热泵）机组：</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1"/>
        <w:gridCol w:w="2645"/>
        <w:gridCol w:w="1640"/>
        <w:gridCol w:w="2029"/>
        <w:gridCol w:w="1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861"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设备型号</w:t>
            </w:r>
          </w:p>
        </w:tc>
        <w:tc>
          <w:tcPr>
            <w:tcW w:w="2645"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名义制冷量CC（kW）</w:t>
            </w:r>
          </w:p>
        </w:tc>
        <w:tc>
          <w:tcPr>
            <w:tcW w:w="3669" w:type="dxa"/>
            <w:gridSpan w:val="2"/>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全年性能系数APF</w:t>
            </w:r>
          </w:p>
        </w:tc>
        <w:tc>
          <w:tcPr>
            <w:tcW w:w="1330"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提高幅度（%）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9" w:hRule="atLeast"/>
          <w:jc w:val="center"/>
        </w:trPr>
        <w:tc>
          <w:tcPr>
            <w:tcW w:w="861"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2645"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640"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设计值</w:t>
            </w:r>
          </w:p>
        </w:tc>
        <w:tc>
          <w:tcPr>
            <w:tcW w:w="2029"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标准规定</w:t>
            </w:r>
          </w:p>
        </w:tc>
        <w:tc>
          <w:tcPr>
            <w:tcW w:w="1330" w:type="dxa"/>
            <w:vMerge w:val="continue"/>
          </w:tcPr>
          <w:p>
            <w:pPr>
              <w:widowControl/>
              <w:spacing w:line="288"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9" w:hRule="atLeast"/>
          <w:jc w:val="center"/>
        </w:trPr>
        <w:tc>
          <w:tcPr>
            <w:tcW w:w="861"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2645"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640"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2029"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330"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861"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2645"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640"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2029"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330"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861"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2645"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640"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2029"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330"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861"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2645"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640"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2029"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330"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861"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2645"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640"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2029"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c>
          <w:tcPr>
            <w:tcW w:w="1330" w:type="dxa"/>
          </w:tcPr>
          <w:p>
            <w:pPr>
              <w:widowControl/>
              <w:spacing w:line="288" w:lineRule="auto"/>
              <w:jc w:val="center"/>
              <w:rPr>
                <w:rFonts w:hint="default" w:ascii="Times New Roman" w:hAnsi="Times New Roman" w:cs="Times New Roman" w:eastAsiaTheme="minorEastAsia"/>
                <w:color w:val="auto"/>
                <w:kern w:val="0"/>
                <w:szCs w:val="21"/>
                <w:highlight w:val="none"/>
              </w:rPr>
            </w:pPr>
            <w:r>
              <w:rPr>
                <w:rFonts w:hint="default" w:ascii="Times New Roman" w:hAnsi="Times New Roman" w:cs="Times New Roman" w:eastAsiaTheme="minorEastAsia"/>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861" w:type="dxa"/>
            <w:vAlign w:val="center"/>
          </w:tcPr>
          <w:p>
            <w:pPr>
              <w:widowControl/>
              <w:spacing w:line="288" w:lineRule="auto"/>
              <w:jc w:val="center"/>
              <w:rPr>
                <w:rFonts w:hint="default" w:ascii="Times New Roman" w:hAnsi="Times New Roman" w:cs="Times New Roman"/>
                <w:color w:val="auto"/>
                <w:kern w:val="0"/>
                <w:szCs w:val="21"/>
                <w:highlight w:val="none"/>
              </w:rPr>
            </w:pPr>
          </w:p>
        </w:tc>
        <w:tc>
          <w:tcPr>
            <w:tcW w:w="2645" w:type="dxa"/>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640" w:type="dxa"/>
            <w:vAlign w:val="center"/>
          </w:tcPr>
          <w:p>
            <w:pPr>
              <w:widowControl/>
              <w:spacing w:line="288" w:lineRule="auto"/>
              <w:jc w:val="center"/>
              <w:rPr>
                <w:rFonts w:hint="default" w:ascii="Times New Roman" w:hAnsi="Times New Roman" w:cs="Times New Roman"/>
                <w:color w:val="auto"/>
                <w:kern w:val="0"/>
                <w:szCs w:val="21"/>
                <w:highlight w:val="none"/>
              </w:rPr>
            </w:pPr>
          </w:p>
        </w:tc>
        <w:tc>
          <w:tcPr>
            <w:tcW w:w="2029" w:type="dxa"/>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330" w:type="dxa"/>
          </w:tcPr>
          <w:p>
            <w:pPr>
              <w:widowControl/>
              <w:spacing w:line="288" w:lineRule="auto"/>
              <w:jc w:val="center"/>
              <w:rPr>
                <w:rFonts w:hint="default" w:ascii="Times New Roman" w:hAnsi="Times New Roman" w:cs="Times New Roman"/>
                <w:color w:val="auto"/>
                <w:kern w:val="0"/>
                <w:szCs w:val="21"/>
                <w:highlight w:val="none"/>
              </w:rPr>
            </w:pPr>
          </w:p>
        </w:tc>
      </w:tr>
    </w:tbl>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水冷多联式空调（热泵）机组：</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1"/>
        <w:gridCol w:w="2645"/>
        <w:gridCol w:w="1640"/>
        <w:gridCol w:w="2029"/>
        <w:gridCol w:w="1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861"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设备型号</w:t>
            </w:r>
          </w:p>
        </w:tc>
        <w:tc>
          <w:tcPr>
            <w:tcW w:w="2645"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名义制冷量CC（kW）</w:t>
            </w:r>
          </w:p>
        </w:tc>
        <w:tc>
          <w:tcPr>
            <w:tcW w:w="3669" w:type="dxa"/>
            <w:gridSpan w:val="2"/>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制冷综合部分负荷性能系数IPLV（C）</w:t>
            </w:r>
          </w:p>
        </w:tc>
        <w:tc>
          <w:tcPr>
            <w:tcW w:w="1330"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提高幅度（%）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861"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2645"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640"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设计值</w:t>
            </w:r>
          </w:p>
        </w:tc>
        <w:tc>
          <w:tcPr>
            <w:tcW w:w="2029"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标准规定</w:t>
            </w:r>
          </w:p>
        </w:tc>
        <w:tc>
          <w:tcPr>
            <w:tcW w:w="1330" w:type="dxa"/>
            <w:vMerge w:val="continue"/>
          </w:tcPr>
          <w:p>
            <w:pPr>
              <w:widowControl/>
              <w:spacing w:line="288"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861"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64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640"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02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330"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861" w:type="dxa"/>
            <w:vAlign w:val="center"/>
          </w:tcPr>
          <w:p>
            <w:pPr>
              <w:widowControl/>
              <w:spacing w:line="288" w:lineRule="auto"/>
              <w:jc w:val="center"/>
              <w:rPr>
                <w:rFonts w:hint="default" w:ascii="Times New Roman" w:hAnsi="Times New Roman" w:cs="Times New Roman"/>
                <w:color w:val="auto"/>
                <w:kern w:val="0"/>
                <w:szCs w:val="21"/>
                <w:highlight w:val="none"/>
              </w:rPr>
            </w:pPr>
          </w:p>
        </w:tc>
        <w:tc>
          <w:tcPr>
            <w:tcW w:w="2645" w:type="dxa"/>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640" w:type="dxa"/>
            <w:vAlign w:val="center"/>
          </w:tcPr>
          <w:p>
            <w:pPr>
              <w:widowControl/>
              <w:spacing w:line="288" w:lineRule="auto"/>
              <w:jc w:val="center"/>
              <w:rPr>
                <w:rFonts w:hint="default" w:ascii="Times New Roman" w:hAnsi="Times New Roman" w:cs="Times New Roman"/>
                <w:color w:val="auto"/>
                <w:kern w:val="0"/>
                <w:szCs w:val="21"/>
                <w:highlight w:val="none"/>
              </w:rPr>
            </w:pPr>
          </w:p>
        </w:tc>
        <w:tc>
          <w:tcPr>
            <w:tcW w:w="2029" w:type="dxa"/>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330" w:type="dxa"/>
          </w:tcPr>
          <w:p>
            <w:pPr>
              <w:widowControl/>
              <w:spacing w:line="288" w:lineRule="auto"/>
              <w:jc w:val="center"/>
              <w:rPr>
                <w:rFonts w:hint="default" w:ascii="Times New Roman" w:hAnsi="Times New Roman" w:cs="Times New Roman"/>
                <w:color w:val="auto"/>
                <w:kern w:val="0"/>
                <w:szCs w:val="21"/>
                <w:highlight w:val="none"/>
              </w:rPr>
            </w:pPr>
          </w:p>
        </w:tc>
      </w:tr>
    </w:tbl>
    <w:p>
      <w:pPr>
        <w:pStyle w:val="21"/>
        <w:spacing w:line="288" w:lineRule="auto"/>
        <w:ind w:left="485" w:hanging="484" w:hangingChars="202"/>
        <w:outlineLvl w:val="9"/>
        <w:rPr>
          <w:rFonts w:hint="default" w:ascii="Times New Roman" w:hAnsi="Times New Roman" w:cs="Times New Roman"/>
          <w:color w:val="auto"/>
          <w:szCs w:val="21"/>
          <w:highlight w:val="none"/>
        </w:rPr>
      </w:pP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锅炉：</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9"/>
        <w:gridCol w:w="726"/>
        <w:gridCol w:w="1089"/>
        <w:gridCol w:w="2330"/>
        <w:gridCol w:w="1215"/>
        <w:gridCol w:w="1114"/>
        <w:gridCol w:w="10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665" w:type="dxa"/>
            <w:gridSpan w:val="2"/>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类型</w:t>
            </w:r>
          </w:p>
        </w:tc>
        <w:tc>
          <w:tcPr>
            <w:tcW w:w="1089"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设备型号</w:t>
            </w:r>
          </w:p>
        </w:tc>
        <w:tc>
          <w:tcPr>
            <w:tcW w:w="2330" w:type="dxa"/>
            <w:vMerge w:val="restart"/>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额定蒸发量D（t/h）/</w:t>
            </w:r>
          </w:p>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额定热功率Q（MW）</w:t>
            </w:r>
          </w:p>
        </w:tc>
        <w:tc>
          <w:tcPr>
            <w:tcW w:w="2329" w:type="dxa"/>
            <w:gridSpan w:val="2"/>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热效率（%）</w:t>
            </w:r>
          </w:p>
        </w:tc>
        <w:tc>
          <w:tcPr>
            <w:tcW w:w="1092" w:type="dxa"/>
            <w:vMerge w:val="restart"/>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提高百分点%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665" w:type="dxa"/>
            <w:gridSpan w:val="2"/>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089"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2330" w:type="dxa"/>
            <w:vMerge w:val="continue"/>
          </w:tcPr>
          <w:p>
            <w:pPr>
              <w:widowControl/>
              <w:spacing w:line="288" w:lineRule="auto"/>
              <w:jc w:val="center"/>
              <w:rPr>
                <w:rFonts w:hint="default" w:ascii="Times New Roman" w:hAnsi="Times New Roman" w:cs="Times New Roman"/>
                <w:color w:val="auto"/>
                <w:kern w:val="0"/>
                <w:szCs w:val="21"/>
                <w:highlight w:val="none"/>
              </w:rPr>
            </w:pPr>
          </w:p>
        </w:tc>
        <w:tc>
          <w:tcPr>
            <w:tcW w:w="1215"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设计值</w:t>
            </w:r>
          </w:p>
        </w:tc>
        <w:tc>
          <w:tcPr>
            <w:tcW w:w="1114"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标准要求</w:t>
            </w:r>
          </w:p>
        </w:tc>
        <w:tc>
          <w:tcPr>
            <w:tcW w:w="1092" w:type="dxa"/>
            <w:vMerge w:val="continue"/>
          </w:tcPr>
          <w:p>
            <w:pPr>
              <w:widowControl/>
              <w:spacing w:line="288"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939"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燃油燃气锅炉</w:t>
            </w:r>
          </w:p>
        </w:tc>
        <w:tc>
          <w:tcPr>
            <w:tcW w:w="726"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重油</w:t>
            </w:r>
          </w:p>
        </w:tc>
        <w:tc>
          <w:tcPr>
            <w:tcW w:w="108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330"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2" w:type="dxa"/>
          </w:tcPr>
          <w:p>
            <w:pPr>
              <w:widowControl/>
              <w:spacing w:line="288"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939"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26"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08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330"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2"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939"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26"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轻油</w:t>
            </w:r>
          </w:p>
        </w:tc>
        <w:tc>
          <w:tcPr>
            <w:tcW w:w="108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330"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2"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939"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26"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08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330"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2"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939"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26"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燃气</w:t>
            </w:r>
          </w:p>
        </w:tc>
        <w:tc>
          <w:tcPr>
            <w:tcW w:w="108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330"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2"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939"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726"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08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330"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21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11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092"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8505" w:type="dxa"/>
            <w:gridSpan w:val="7"/>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注：根据浙江省《公共建筑节能设计标准》DB33/1036，在名义工况和规定条件下，燃气锅炉热效率应≥94%，燃油（轻油）锅炉热效率应≥93%。</w:t>
            </w:r>
          </w:p>
        </w:tc>
      </w:tr>
    </w:tbl>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房间空调器：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59"/>
        <w:gridCol w:w="1719"/>
        <w:gridCol w:w="1765"/>
        <w:gridCol w:w="1410"/>
        <w:gridCol w:w="1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2059"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额定制冷量CC</w:t>
            </w:r>
          </w:p>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（kW）</w:t>
            </w:r>
          </w:p>
        </w:tc>
        <w:tc>
          <w:tcPr>
            <w:tcW w:w="3484" w:type="dxa"/>
            <w:gridSpan w:val="2"/>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热泵型房间空调器</w:t>
            </w:r>
          </w:p>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全年性能系数（APF）</w:t>
            </w:r>
          </w:p>
        </w:tc>
        <w:tc>
          <w:tcPr>
            <w:tcW w:w="2962" w:type="dxa"/>
            <w:gridSpan w:val="2"/>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单冷式房间空调器</w:t>
            </w:r>
          </w:p>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制冷季节能效比（SEER）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2059"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719"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设计值</w:t>
            </w:r>
          </w:p>
        </w:tc>
        <w:tc>
          <w:tcPr>
            <w:tcW w:w="1765"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能效限值</w:t>
            </w:r>
          </w:p>
        </w:tc>
        <w:tc>
          <w:tcPr>
            <w:tcW w:w="1410"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设计值</w:t>
            </w:r>
          </w:p>
        </w:tc>
        <w:tc>
          <w:tcPr>
            <w:tcW w:w="1552"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能效限值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205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CC＜4.5</w:t>
            </w:r>
          </w:p>
        </w:tc>
        <w:tc>
          <w:tcPr>
            <w:tcW w:w="1719" w:type="dxa"/>
            <w:vAlign w:val="top"/>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en-US" w:eastAsia="zh-CN"/>
              </w:rPr>
              <w:t>3.40</w:t>
            </w:r>
          </w:p>
        </w:tc>
        <w:tc>
          <w:tcPr>
            <w:tcW w:w="1765" w:type="dxa"/>
            <w:vAlign w:val="top"/>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en-US" w:eastAsia="zh-CN"/>
              </w:rPr>
              <w:t>3.40</w:t>
            </w:r>
          </w:p>
        </w:tc>
        <w:tc>
          <w:tcPr>
            <w:tcW w:w="1410" w:type="dxa"/>
          </w:tcPr>
          <w:p>
            <w:pPr>
              <w:widowControl/>
              <w:spacing w:line="288" w:lineRule="auto"/>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5.00</w:t>
            </w:r>
          </w:p>
        </w:tc>
        <w:tc>
          <w:tcPr>
            <w:tcW w:w="1552" w:type="dxa"/>
            <w:vAlign w:val="top"/>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en-US" w:eastAsia="zh-CN"/>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205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4.5＜CC≤7.1</w:t>
            </w:r>
          </w:p>
        </w:tc>
        <w:tc>
          <w:tcPr>
            <w:tcW w:w="1719" w:type="dxa"/>
            <w:vAlign w:val="top"/>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en-US" w:eastAsia="zh-CN"/>
              </w:rPr>
              <w:t>3.30</w:t>
            </w:r>
          </w:p>
        </w:tc>
        <w:tc>
          <w:tcPr>
            <w:tcW w:w="1765" w:type="dxa"/>
            <w:vAlign w:val="top"/>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en-US" w:eastAsia="zh-CN"/>
              </w:rPr>
              <w:t>3.30</w:t>
            </w:r>
          </w:p>
        </w:tc>
        <w:tc>
          <w:tcPr>
            <w:tcW w:w="1410" w:type="dxa"/>
          </w:tcPr>
          <w:p>
            <w:pPr>
              <w:widowControl/>
              <w:spacing w:line="288" w:lineRule="auto"/>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4.40</w:t>
            </w:r>
          </w:p>
        </w:tc>
        <w:tc>
          <w:tcPr>
            <w:tcW w:w="1552" w:type="dxa"/>
            <w:vAlign w:val="top"/>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en-US" w:eastAsia="zh-CN"/>
              </w:rPr>
              <w:t>4.40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205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7.1＜CC≤14.0</w:t>
            </w:r>
          </w:p>
        </w:tc>
        <w:tc>
          <w:tcPr>
            <w:tcW w:w="1719" w:type="dxa"/>
            <w:vAlign w:val="top"/>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en-US" w:eastAsia="zh-CN"/>
              </w:rPr>
              <w:t>3.20</w:t>
            </w:r>
          </w:p>
        </w:tc>
        <w:tc>
          <w:tcPr>
            <w:tcW w:w="1765" w:type="dxa"/>
            <w:vAlign w:val="top"/>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en-US" w:eastAsia="zh-CN"/>
              </w:rPr>
              <w:t>3.20</w:t>
            </w:r>
          </w:p>
        </w:tc>
        <w:tc>
          <w:tcPr>
            <w:tcW w:w="1410" w:type="dxa"/>
          </w:tcPr>
          <w:p>
            <w:pPr>
              <w:widowControl/>
              <w:spacing w:line="288" w:lineRule="auto"/>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4.00</w:t>
            </w:r>
          </w:p>
        </w:tc>
        <w:tc>
          <w:tcPr>
            <w:tcW w:w="1552" w:type="dxa"/>
            <w:vAlign w:val="top"/>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lang w:val="en-US" w:eastAsia="zh-CN"/>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8505" w:type="dxa"/>
            <w:gridSpan w:val="5"/>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注：能效参数应满足浙江省《建筑节能与可再生能源利用通用规范》GB55015的要求。</w:t>
            </w:r>
          </w:p>
        </w:tc>
      </w:tr>
    </w:tbl>
    <w:p>
      <w:pPr>
        <w:pStyle w:val="21"/>
        <w:spacing w:line="288" w:lineRule="auto"/>
        <w:outlineLvl w:val="9"/>
        <w:rPr>
          <w:rFonts w:hint="default" w:ascii="Times New Roman" w:hAnsi="Times New Roman" w:cs="Times New Roman"/>
          <w:color w:val="auto"/>
          <w:szCs w:val="21"/>
          <w:highlight w:val="none"/>
        </w:rPr>
      </w:pP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家用燃气采暖炉：</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5"/>
        <w:gridCol w:w="2647"/>
        <w:gridCol w:w="2169"/>
        <w:gridCol w:w="2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435"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设备型号</w:t>
            </w:r>
          </w:p>
        </w:tc>
        <w:tc>
          <w:tcPr>
            <w:tcW w:w="2647"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额定热负荷</w:t>
            </w:r>
          </w:p>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（kW）</w:t>
            </w:r>
          </w:p>
        </w:tc>
        <w:tc>
          <w:tcPr>
            <w:tcW w:w="4423" w:type="dxa"/>
            <w:gridSpan w:val="2"/>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能效等级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435" w:type="dxa"/>
            <w:vMerge w:val="continue"/>
          </w:tcPr>
          <w:p>
            <w:pPr>
              <w:widowControl/>
              <w:spacing w:line="288" w:lineRule="auto"/>
              <w:jc w:val="center"/>
              <w:rPr>
                <w:rFonts w:hint="default" w:ascii="Times New Roman" w:hAnsi="Times New Roman" w:cs="Times New Roman"/>
                <w:color w:val="auto"/>
                <w:kern w:val="0"/>
                <w:szCs w:val="21"/>
                <w:highlight w:val="none"/>
              </w:rPr>
            </w:pPr>
          </w:p>
        </w:tc>
        <w:tc>
          <w:tcPr>
            <w:tcW w:w="264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2169"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设计值</w:t>
            </w:r>
          </w:p>
        </w:tc>
        <w:tc>
          <w:tcPr>
            <w:tcW w:w="2254" w:type="dxa"/>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节能评价值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143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64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6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25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143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64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6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25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1435"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64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16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25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8505" w:type="dxa"/>
            <w:gridSpan w:val="4"/>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注：当采用燃气热水锅炉或家用燃气采暖热水炉作为供暖热源时，其热效率应满足浙江省《建筑节能与可再生能源利用通用规范》GB55015的要求。</w:t>
            </w:r>
          </w:p>
        </w:tc>
      </w:tr>
    </w:tbl>
    <w:p>
      <w:pPr>
        <w:spacing w:line="360" w:lineRule="auto"/>
        <w:ind w:firstLine="480" w:firstLineChars="200"/>
        <w:rPr>
          <w:rFonts w:hint="default" w:ascii="Times New Roman" w:hAnsi="Times New Roman" w:cs="Times New Roman"/>
          <w:color w:val="auto"/>
          <w:sz w:val="24"/>
          <w:szCs w:val="24"/>
          <w:highlight w:val="none"/>
        </w:rPr>
      </w:pP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3"/>
        <w:numPr>
          <w:ilvl w:val="0"/>
          <w:numId w:val="15"/>
        </w:numPr>
        <w:spacing w:after="156"/>
        <w:rPr>
          <w:rFonts w:hint="default" w:ascii="Times New Roman" w:hAnsi="Times New Roman" w:cs="Times New Roman"/>
          <w:color w:val="auto"/>
          <w:highlight w:val="none"/>
        </w:rPr>
      </w:pPr>
      <w:bookmarkStart w:id="123" w:name="_Toc124520265"/>
      <w:r>
        <w:rPr>
          <w:rFonts w:hint="default" w:ascii="Times New Roman" w:hAnsi="Times New Roman" w:cs="Times New Roman"/>
          <w:color w:val="auto"/>
          <w:highlight w:val="none"/>
        </w:rPr>
        <w:t>输配系统与末端用能设备</w:t>
      </w:r>
      <w:bookmarkEnd w:id="123"/>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通风空调系统风机的单位风量耗功率比现行国家标准《公共建筑节能设计标准》GB50189的规定低20%：■是□否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集中供暖系统热水循环泵的耗电输热比、空调冷热水系统循环水泵的耗电输冷（热）比比现行国家标准《民用建筑供暖通风与空气调节设计规范》GB50736规定值低20%：□是□否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项目设集中供暖系统：□是□否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供暖系统循环水泵性能参数：</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2"/>
        <w:gridCol w:w="1570"/>
        <w:gridCol w:w="1885"/>
        <w:gridCol w:w="1624"/>
        <w:gridCol w:w="21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设备编号</w:t>
            </w:r>
          </w:p>
        </w:tc>
        <w:tc>
          <w:tcPr>
            <w:tcW w:w="1570" w:type="dxa"/>
            <w:vAlign w:val="center"/>
          </w:tcPr>
          <w:p>
            <w:pPr>
              <w:widowControl/>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设备类型</w:t>
            </w:r>
          </w:p>
        </w:tc>
        <w:tc>
          <w:tcPr>
            <w:tcW w:w="1885"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设计流量（m</w:t>
            </w:r>
            <w:r>
              <w:rPr>
                <w:rFonts w:hint="default" w:ascii="Times New Roman" w:hAnsi="Times New Roman" w:cs="Times New Roman"/>
                <w:color w:val="auto"/>
                <w:szCs w:val="21"/>
                <w:highlight w:val="none"/>
                <w:vertAlign w:val="superscript"/>
              </w:rPr>
              <w:t>3</w:t>
            </w:r>
            <w:r>
              <w:rPr>
                <w:rFonts w:hint="default" w:ascii="Times New Roman" w:hAnsi="Times New Roman" w:cs="Times New Roman"/>
                <w:color w:val="auto"/>
                <w:szCs w:val="21"/>
                <w:highlight w:val="none"/>
              </w:rPr>
              <w:t>/h）</w:t>
            </w:r>
          </w:p>
        </w:tc>
        <w:tc>
          <w:tcPr>
            <w:tcW w:w="1624"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设计扬程（m）</w:t>
            </w:r>
          </w:p>
        </w:tc>
        <w:tc>
          <w:tcPr>
            <w:tcW w:w="2124"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设计工作点效率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570" w:type="dxa"/>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885" w:type="dxa"/>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624" w:type="dxa"/>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2124" w:type="dxa"/>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570" w:type="dxa"/>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885" w:type="dxa"/>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624" w:type="dxa"/>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2124" w:type="dxa"/>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bl>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集中供暖系统耗电输热比：</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7"/>
        <w:gridCol w:w="1585"/>
        <w:gridCol w:w="721"/>
        <w:gridCol w:w="721"/>
        <w:gridCol w:w="1430"/>
        <w:gridCol w:w="635"/>
        <w:gridCol w:w="1106"/>
        <w:gridCol w:w="10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1297" w:type="dxa"/>
            <w:vMerge w:val="restart"/>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设计热负荷</w:t>
            </w:r>
          </w:p>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（kW）</w:t>
            </w:r>
          </w:p>
        </w:tc>
        <w:tc>
          <w:tcPr>
            <w:tcW w:w="1585" w:type="dxa"/>
            <w:vMerge w:val="restart"/>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设计供回水</w:t>
            </w:r>
          </w:p>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温差（℃）</w:t>
            </w:r>
          </w:p>
        </w:tc>
        <w:tc>
          <w:tcPr>
            <w:tcW w:w="721" w:type="dxa"/>
            <w:vMerge w:val="restart"/>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A</w:t>
            </w:r>
          </w:p>
        </w:tc>
        <w:tc>
          <w:tcPr>
            <w:tcW w:w="721" w:type="dxa"/>
            <w:vMerge w:val="restart"/>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B</w:t>
            </w:r>
          </w:p>
        </w:tc>
        <w:tc>
          <w:tcPr>
            <w:tcW w:w="1430" w:type="dxa"/>
            <w:vMerge w:val="restart"/>
            <w:vAlign w:val="center"/>
          </w:tcPr>
          <w:p>
            <w:pPr>
              <w:widowControl/>
              <w:spacing w:line="288"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供回水管道总长度（m）</w:t>
            </w:r>
          </w:p>
        </w:tc>
        <w:tc>
          <w:tcPr>
            <w:tcW w:w="635" w:type="dxa"/>
            <w:vMerge w:val="restart"/>
            <w:vAlign w:val="center"/>
          </w:tcPr>
          <w:p>
            <w:pPr>
              <w:widowControl/>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α</w:t>
            </w:r>
          </w:p>
        </w:tc>
        <w:tc>
          <w:tcPr>
            <w:tcW w:w="2116" w:type="dxa"/>
            <w:gridSpan w:val="2"/>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集中供暖系统</w:t>
            </w:r>
          </w:p>
          <w:p>
            <w:pPr>
              <w:widowControl/>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耗电输热比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297"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1585"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721"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721"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1430"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635"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1106" w:type="dxa"/>
            <w:vAlign w:val="center"/>
          </w:tcPr>
          <w:p>
            <w:pPr>
              <w:widowControl/>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设计值</w:t>
            </w:r>
          </w:p>
        </w:tc>
        <w:tc>
          <w:tcPr>
            <w:tcW w:w="1010" w:type="dxa"/>
            <w:vAlign w:val="center"/>
          </w:tcPr>
          <w:p>
            <w:pPr>
              <w:widowControl/>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7"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585"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721"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721"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430"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635"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06"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010"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bl>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在选配集中空调供暖系统的循环水泵时，循环水泵能效不应小于GB19762中节能评价值：□是□否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通风空调系统风机单位风量耗功率：</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7"/>
        <w:gridCol w:w="1064"/>
        <w:gridCol w:w="1276"/>
        <w:gridCol w:w="1559"/>
        <w:gridCol w:w="867"/>
        <w:gridCol w:w="874"/>
        <w:gridCol w:w="1136"/>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5" w:hRule="atLeast"/>
          <w:jc w:val="center"/>
        </w:trPr>
        <w:tc>
          <w:tcPr>
            <w:tcW w:w="737"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设备编号</w:t>
            </w:r>
          </w:p>
        </w:tc>
        <w:tc>
          <w:tcPr>
            <w:tcW w:w="1064"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设备类型</w:t>
            </w:r>
          </w:p>
        </w:tc>
        <w:tc>
          <w:tcPr>
            <w:tcW w:w="1276"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系统形式</w:t>
            </w:r>
          </w:p>
        </w:tc>
        <w:tc>
          <w:tcPr>
            <w:tcW w:w="1559"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空调机组的余压</w:t>
            </w:r>
          </w:p>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或通风系统风机的风压（Pa）</w:t>
            </w:r>
          </w:p>
        </w:tc>
        <w:tc>
          <w:tcPr>
            <w:tcW w:w="867"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电机及传动效率</w:t>
            </w:r>
          </w:p>
        </w:tc>
        <w:tc>
          <w:tcPr>
            <w:tcW w:w="874"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风机效率</w:t>
            </w:r>
          </w:p>
        </w:tc>
        <w:tc>
          <w:tcPr>
            <w:tcW w:w="2128" w:type="dxa"/>
            <w:gridSpan w:val="2"/>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风机的单位风量耗功率（W/(m</w:t>
            </w:r>
            <w:r>
              <w:rPr>
                <w:rFonts w:hint="default" w:ascii="Times New Roman" w:hAnsi="Times New Roman" w:cs="Times New Roman"/>
                <w:color w:val="auto"/>
                <w:kern w:val="0"/>
                <w:szCs w:val="21"/>
                <w:highlight w:val="none"/>
                <w:vertAlign w:val="superscript"/>
              </w:rPr>
              <w:t>3</w:t>
            </w:r>
            <w:r>
              <w:rPr>
                <w:rFonts w:hint="default" w:ascii="Times New Roman" w:hAnsi="Times New Roman" w:cs="Times New Roman"/>
                <w:color w:val="auto"/>
                <w:kern w:val="0"/>
                <w:szCs w:val="21"/>
                <w:highlight w:val="none"/>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5" w:hRule="atLeast"/>
          <w:jc w:val="center"/>
        </w:trPr>
        <w:tc>
          <w:tcPr>
            <w:tcW w:w="73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064"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276"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559"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867"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874"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136" w:type="dxa"/>
            <w:vAlign w:val="center"/>
          </w:tcPr>
          <w:p>
            <w:pPr>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设计值</w:t>
            </w:r>
          </w:p>
        </w:tc>
        <w:tc>
          <w:tcPr>
            <w:tcW w:w="992" w:type="dxa"/>
            <w:vAlign w:val="center"/>
          </w:tcPr>
          <w:p>
            <w:pPr>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7" w:type="dxa"/>
          </w:tcPr>
          <w:p>
            <w:pPr>
              <w:widowControl/>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color w:val="auto"/>
                <w:szCs w:val="21"/>
                <w:highlight w:val="none"/>
              </w:rPr>
              <w:t>/</w:t>
            </w:r>
          </w:p>
        </w:tc>
        <w:tc>
          <w:tcPr>
            <w:tcW w:w="1064" w:type="dxa"/>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color w:val="auto"/>
                <w:szCs w:val="21"/>
                <w:highlight w:val="none"/>
              </w:rPr>
              <w:t>/</w:t>
            </w:r>
          </w:p>
        </w:tc>
        <w:tc>
          <w:tcPr>
            <w:tcW w:w="1276" w:type="dxa"/>
          </w:tcPr>
          <w:p>
            <w:pPr>
              <w:widowControl/>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color w:val="auto"/>
                <w:szCs w:val="21"/>
                <w:highlight w:val="none"/>
              </w:rPr>
              <w:t>/</w:t>
            </w:r>
          </w:p>
        </w:tc>
        <w:tc>
          <w:tcPr>
            <w:tcW w:w="1559" w:type="dxa"/>
          </w:tcPr>
          <w:p>
            <w:pPr>
              <w:widowControl/>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color w:val="auto"/>
                <w:szCs w:val="21"/>
                <w:highlight w:val="none"/>
              </w:rPr>
              <w:t>/</w:t>
            </w:r>
          </w:p>
        </w:tc>
        <w:tc>
          <w:tcPr>
            <w:tcW w:w="867" w:type="dxa"/>
          </w:tcPr>
          <w:p>
            <w:pPr>
              <w:widowControl/>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color w:val="auto"/>
                <w:szCs w:val="21"/>
                <w:highlight w:val="none"/>
              </w:rPr>
              <w:t>/</w:t>
            </w:r>
          </w:p>
        </w:tc>
        <w:tc>
          <w:tcPr>
            <w:tcW w:w="874" w:type="dxa"/>
          </w:tcPr>
          <w:p>
            <w:pPr>
              <w:widowControl/>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color w:val="auto"/>
                <w:szCs w:val="21"/>
                <w:highlight w:val="none"/>
              </w:rPr>
              <w:t>/</w:t>
            </w:r>
          </w:p>
        </w:tc>
        <w:tc>
          <w:tcPr>
            <w:tcW w:w="1136" w:type="dxa"/>
          </w:tcPr>
          <w:p>
            <w:pPr>
              <w:widowControl/>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color w:val="auto"/>
                <w:szCs w:val="21"/>
                <w:highlight w:val="none"/>
              </w:rPr>
              <w:t>/</w:t>
            </w:r>
          </w:p>
        </w:tc>
        <w:tc>
          <w:tcPr>
            <w:tcW w:w="992" w:type="dxa"/>
          </w:tcPr>
          <w:p>
            <w:pPr>
              <w:widowControl/>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7" w:type="dxa"/>
          </w:tcPr>
          <w:p>
            <w:pPr>
              <w:widowControl/>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color w:val="auto"/>
                <w:szCs w:val="21"/>
                <w:highlight w:val="none"/>
              </w:rPr>
              <w:t>/</w:t>
            </w:r>
          </w:p>
        </w:tc>
        <w:tc>
          <w:tcPr>
            <w:tcW w:w="1064" w:type="dxa"/>
          </w:tcPr>
          <w:p>
            <w:pPr>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color w:val="auto"/>
                <w:szCs w:val="21"/>
                <w:highlight w:val="none"/>
              </w:rPr>
              <w:t>/</w:t>
            </w:r>
          </w:p>
        </w:tc>
        <w:tc>
          <w:tcPr>
            <w:tcW w:w="1276" w:type="dxa"/>
          </w:tcPr>
          <w:p>
            <w:pPr>
              <w:widowControl/>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color w:val="auto"/>
                <w:szCs w:val="21"/>
                <w:highlight w:val="none"/>
              </w:rPr>
              <w:t>/</w:t>
            </w:r>
          </w:p>
        </w:tc>
        <w:tc>
          <w:tcPr>
            <w:tcW w:w="1559" w:type="dxa"/>
          </w:tcPr>
          <w:p>
            <w:pPr>
              <w:widowControl/>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color w:val="auto"/>
                <w:szCs w:val="21"/>
                <w:highlight w:val="none"/>
              </w:rPr>
              <w:t>/</w:t>
            </w:r>
          </w:p>
        </w:tc>
        <w:tc>
          <w:tcPr>
            <w:tcW w:w="867" w:type="dxa"/>
          </w:tcPr>
          <w:p>
            <w:pPr>
              <w:widowControl/>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color w:val="auto"/>
                <w:szCs w:val="21"/>
                <w:highlight w:val="none"/>
              </w:rPr>
              <w:t>/</w:t>
            </w:r>
          </w:p>
        </w:tc>
        <w:tc>
          <w:tcPr>
            <w:tcW w:w="874" w:type="dxa"/>
          </w:tcPr>
          <w:p>
            <w:pPr>
              <w:widowControl/>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color w:val="auto"/>
                <w:szCs w:val="21"/>
                <w:highlight w:val="none"/>
              </w:rPr>
              <w:t>/</w:t>
            </w:r>
          </w:p>
        </w:tc>
        <w:tc>
          <w:tcPr>
            <w:tcW w:w="1136" w:type="dxa"/>
          </w:tcPr>
          <w:p>
            <w:pPr>
              <w:widowControl/>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color w:val="auto"/>
                <w:szCs w:val="21"/>
                <w:highlight w:val="none"/>
              </w:rPr>
              <w:t>/</w:t>
            </w:r>
          </w:p>
        </w:tc>
        <w:tc>
          <w:tcPr>
            <w:tcW w:w="992" w:type="dxa"/>
          </w:tcPr>
          <w:p>
            <w:pPr>
              <w:widowControl/>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w:t>
            </w:r>
          </w:p>
        </w:tc>
        <w:tc>
          <w:tcPr>
            <w:tcW w:w="106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w:t>
            </w:r>
          </w:p>
        </w:tc>
        <w:tc>
          <w:tcPr>
            <w:tcW w:w="1276"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w:t>
            </w:r>
          </w:p>
        </w:tc>
        <w:tc>
          <w:tcPr>
            <w:tcW w:w="155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w:t>
            </w:r>
          </w:p>
        </w:tc>
        <w:tc>
          <w:tcPr>
            <w:tcW w:w="867"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w:t>
            </w:r>
          </w:p>
        </w:tc>
        <w:tc>
          <w:tcPr>
            <w:tcW w:w="874"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w:t>
            </w:r>
          </w:p>
        </w:tc>
        <w:tc>
          <w:tcPr>
            <w:tcW w:w="1136"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w:t>
            </w:r>
          </w:p>
        </w:tc>
        <w:tc>
          <w:tcPr>
            <w:tcW w:w="992"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7" w:type="dxa"/>
          </w:tcPr>
          <w:p>
            <w:pPr>
              <w:widowControl/>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064" w:type="dxa"/>
          </w:tcPr>
          <w:p>
            <w:pPr>
              <w:widowControl/>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276" w:type="dxa"/>
          </w:tcPr>
          <w:p>
            <w:pPr>
              <w:widowControl/>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559" w:type="dxa"/>
          </w:tcPr>
          <w:p>
            <w:pPr>
              <w:widowControl/>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67" w:type="dxa"/>
          </w:tcPr>
          <w:p>
            <w:pPr>
              <w:widowControl/>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874" w:type="dxa"/>
          </w:tcPr>
          <w:p>
            <w:pPr>
              <w:widowControl/>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36" w:type="dxa"/>
          </w:tcPr>
          <w:p>
            <w:pPr>
              <w:widowControl/>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992" w:type="dxa"/>
          </w:tcPr>
          <w:p>
            <w:pPr>
              <w:widowControl/>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377" w:type="dxa"/>
            <w:gridSpan w:val="6"/>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风机单位风量耗功率降低比例（%）</w:t>
            </w:r>
          </w:p>
        </w:tc>
        <w:tc>
          <w:tcPr>
            <w:tcW w:w="2128" w:type="dxa"/>
            <w:gridSpan w:val="2"/>
            <w:vAlign w:val="center"/>
          </w:tcPr>
          <w:p>
            <w:pPr>
              <w:widowControl/>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eastAsiaTheme="minorEastAsia"/>
                <w:color w:val="auto"/>
                <w:sz w:val="18"/>
                <w:szCs w:val="18"/>
                <w:highlight w:val="none"/>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505" w:type="dxa"/>
            <w:gridSpan w:val="8"/>
            <w:vAlign w:val="center"/>
          </w:tcPr>
          <w:p>
            <w:pPr>
              <w:widowControl/>
              <w:spacing w:line="288"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注：通风空调系统风机的单位风量耗功率应比现行国家标准《公共建筑节能设计标准》GB50189的规定低20%。</w:t>
            </w:r>
          </w:p>
        </w:tc>
      </w:tr>
    </w:tbl>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空调冷热水系统循环水泵性能参数：</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7"/>
        <w:gridCol w:w="1830"/>
        <w:gridCol w:w="1585"/>
        <w:gridCol w:w="1850"/>
        <w:gridCol w:w="1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设备编号</w:t>
            </w:r>
          </w:p>
        </w:tc>
        <w:tc>
          <w:tcPr>
            <w:tcW w:w="1830"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设备类型</w:t>
            </w:r>
          </w:p>
        </w:tc>
        <w:tc>
          <w:tcPr>
            <w:tcW w:w="1585"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设计流量（m</w:t>
            </w:r>
            <w:r>
              <w:rPr>
                <w:rFonts w:hint="default" w:ascii="Times New Roman" w:hAnsi="Times New Roman" w:cs="Times New Roman"/>
                <w:color w:val="auto"/>
                <w:szCs w:val="21"/>
                <w:highlight w:val="none"/>
                <w:vertAlign w:val="superscript"/>
              </w:rPr>
              <w:t>3</w:t>
            </w:r>
            <w:r>
              <w:rPr>
                <w:rFonts w:hint="default" w:ascii="Times New Roman" w:hAnsi="Times New Roman" w:cs="Times New Roman"/>
                <w:color w:val="auto"/>
                <w:szCs w:val="21"/>
                <w:highlight w:val="none"/>
              </w:rPr>
              <w:t>/h）</w:t>
            </w:r>
          </w:p>
        </w:tc>
        <w:tc>
          <w:tcPr>
            <w:tcW w:w="1850"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设计扬程（m）</w:t>
            </w:r>
          </w:p>
        </w:tc>
        <w:tc>
          <w:tcPr>
            <w:tcW w:w="1993"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设计工作点效率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830"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585"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850"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993"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Align w:val="center"/>
          </w:tcPr>
          <w:p>
            <w:pPr>
              <w:spacing w:line="288" w:lineRule="auto"/>
              <w:jc w:val="center"/>
              <w:rPr>
                <w:rFonts w:hint="default" w:ascii="Times New Roman" w:hAnsi="Times New Roman" w:cs="Times New Roman"/>
                <w:color w:val="auto"/>
                <w:szCs w:val="21"/>
                <w:highlight w:val="none"/>
              </w:rPr>
            </w:pPr>
          </w:p>
        </w:tc>
        <w:tc>
          <w:tcPr>
            <w:tcW w:w="1830" w:type="dxa"/>
            <w:vAlign w:val="center"/>
          </w:tcPr>
          <w:p>
            <w:pPr>
              <w:spacing w:line="288" w:lineRule="auto"/>
              <w:jc w:val="center"/>
              <w:rPr>
                <w:rFonts w:hint="default" w:ascii="Times New Roman" w:hAnsi="Times New Roman" w:cs="Times New Roman"/>
                <w:color w:val="auto"/>
                <w:szCs w:val="21"/>
                <w:highlight w:val="none"/>
              </w:rPr>
            </w:pPr>
          </w:p>
        </w:tc>
        <w:tc>
          <w:tcPr>
            <w:tcW w:w="1585" w:type="dxa"/>
            <w:vAlign w:val="center"/>
          </w:tcPr>
          <w:p>
            <w:pPr>
              <w:spacing w:line="288" w:lineRule="auto"/>
              <w:jc w:val="center"/>
              <w:rPr>
                <w:rFonts w:hint="default" w:ascii="Times New Roman" w:hAnsi="Times New Roman" w:cs="Times New Roman"/>
                <w:color w:val="auto"/>
                <w:szCs w:val="21"/>
                <w:highlight w:val="none"/>
              </w:rPr>
            </w:pPr>
          </w:p>
        </w:tc>
        <w:tc>
          <w:tcPr>
            <w:tcW w:w="1850" w:type="dxa"/>
            <w:vAlign w:val="center"/>
          </w:tcPr>
          <w:p>
            <w:pPr>
              <w:spacing w:line="288" w:lineRule="auto"/>
              <w:jc w:val="center"/>
              <w:rPr>
                <w:rFonts w:hint="default" w:ascii="Times New Roman" w:hAnsi="Times New Roman" w:cs="Times New Roman"/>
                <w:color w:val="auto"/>
                <w:szCs w:val="21"/>
                <w:highlight w:val="none"/>
              </w:rPr>
            </w:pPr>
          </w:p>
        </w:tc>
        <w:tc>
          <w:tcPr>
            <w:tcW w:w="1993" w:type="dxa"/>
            <w:vAlign w:val="center"/>
          </w:tcPr>
          <w:p>
            <w:pPr>
              <w:spacing w:line="288" w:lineRule="auto"/>
              <w:jc w:val="center"/>
              <w:rPr>
                <w:rFonts w:hint="default" w:ascii="Times New Roman" w:hAnsi="Times New Roman" w:cs="Times New Roman"/>
                <w:color w:val="auto"/>
                <w:szCs w:val="21"/>
                <w:highlight w:val="none"/>
              </w:rPr>
            </w:pPr>
          </w:p>
        </w:tc>
      </w:tr>
    </w:tbl>
    <w:p>
      <w:pPr>
        <w:spacing w:line="360" w:lineRule="auto"/>
        <w:ind w:firstLine="480" w:firstLineChars="200"/>
        <w:rPr>
          <w:rFonts w:hint="default" w:ascii="Times New Roman" w:hAnsi="Times New Roman" w:cs="Times New Roman"/>
          <w:color w:val="auto"/>
          <w:sz w:val="24"/>
          <w:szCs w:val="24"/>
          <w:highlight w:val="none"/>
        </w:rPr>
      </w:pP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空调冷热水系统循环水泵的耗电输冷（热）比：</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0"/>
        <w:gridCol w:w="1365"/>
        <w:gridCol w:w="398"/>
        <w:gridCol w:w="386"/>
        <w:gridCol w:w="1249"/>
        <w:gridCol w:w="427"/>
        <w:gridCol w:w="1138"/>
        <w:gridCol w:w="1281"/>
        <w:gridCol w:w="12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980" w:type="dxa"/>
            <w:vMerge w:val="restart"/>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设计冷/热负荷</w:t>
            </w:r>
          </w:p>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（kW）</w:t>
            </w:r>
          </w:p>
        </w:tc>
        <w:tc>
          <w:tcPr>
            <w:tcW w:w="1365" w:type="dxa"/>
            <w:vMerge w:val="restart"/>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设计供回水</w:t>
            </w:r>
          </w:p>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温差（℃）</w:t>
            </w:r>
          </w:p>
        </w:tc>
        <w:tc>
          <w:tcPr>
            <w:tcW w:w="398" w:type="dxa"/>
            <w:vMerge w:val="restart"/>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A</w:t>
            </w:r>
          </w:p>
        </w:tc>
        <w:tc>
          <w:tcPr>
            <w:tcW w:w="386" w:type="dxa"/>
            <w:vMerge w:val="restart"/>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B</w:t>
            </w:r>
          </w:p>
        </w:tc>
        <w:tc>
          <w:tcPr>
            <w:tcW w:w="1249" w:type="dxa"/>
            <w:vMerge w:val="restart"/>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供回水管道总长度（m）</w:t>
            </w:r>
          </w:p>
        </w:tc>
        <w:tc>
          <w:tcPr>
            <w:tcW w:w="427" w:type="dxa"/>
            <w:vMerge w:val="restart"/>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α</w:t>
            </w:r>
          </w:p>
        </w:tc>
        <w:tc>
          <w:tcPr>
            <w:tcW w:w="3700" w:type="dxa"/>
            <w:gridSpan w:val="3"/>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空调冷热水系统循环水泵</w:t>
            </w:r>
          </w:p>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的耗电输冷（热）比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980"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1365"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398"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386"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1249"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427" w:type="dxa"/>
            <w:vMerge w:val="continue"/>
            <w:vAlign w:val="center"/>
          </w:tcPr>
          <w:p>
            <w:pPr>
              <w:spacing w:line="288" w:lineRule="auto"/>
              <w:jc w:val="center"/>
              <w:rPr>
                <w:rFonts w:hint="default" w:ascii="Times New Roman" w:hAnsi="Times New Roman" w:cs="Times New Roman"/>
                <w:color w:val="auto"/>
                <w:szCs w:val="21"/>
                <w:highlight w:val="none"/>
              </w:rPr>
            </w:pPr>
          </w:p>
        </w:tc>
        <w:tc>
          <w:tcPr>
            <w:tcW w:w="1138"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设计值</w:t>
            </w:r>
          </w:p>
        </w:tc>
        <w:tc>
          <w:tcPr>
            <w:tcW w:w="1281"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限值</w:t>
            </w:r>
          </w:p>
        </w:tc>
        <w:tc>
          <w:tcPr>
            <w:tcW w:w="1281" w:type="dxa"/>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降低幅度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0"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365"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398"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386"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249"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427"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38"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281" w:type="dxa"/>
            <w:vAlign w:val="center"/>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281" w:type="dxa"/>
          </w:tcPr>
          <w:p>
            <w:pPr>
              <w:spacing w:line="288"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0" w:type="dxa"/>
            <w:vAlign w:val="center"/>
          </w:tcPr>
          <w:p>
            <w:pPr>
              <w:spacing w:line="288" w:lineRule="auto"/>
              <w:jc w:val="center"/>
              <w:rPr>
                <w:rFonts w:hint="default" w:ascii="Times New Roman" w:hAnsi="Times New Roman" w:cs="Times New Roman"/>
                <w:color w:val="auto"/>
                <w:szCs w:val="21"/>
                <w:highlight w:val="none"/>
              </w:rPr>
            </w:pPr>
          </w:p>
        </w:tc>
        <w:tc>
          <w:tcPr>
            <w:tcW w:w="1365" w:type="dxa"/>
            <w:vAlign w:val="center"/>
          </w:tcPr>
          <w:p>
            <w:pPr>
              <w:spacing w:line="288" w:lineRule="auto"/>
              <w:jc w:val="center"/>
              <w:rPr>
                <w:rFonts w:hint="default" w:ascii="Times New Roman" w:hAnsi="Times New Roman" w:cs="Times New Roman"/>
                <w:color w:val="auto"/>
                <w:szCs w:val="21"/>
                <w:highlight w:val="none"/>
              </w:rPr>
            </w:pPr>
          </w:p>
        </w:tc>
        <w:tc>
          <w:tcPr>
            <w:tcW w:w="398" w:type="dxa"/>
            <w:vAlign w:val="center"/>
          </w:tcPr>
          <w:p>
            <w:pPr>
              <w:spacing w:line="288" w:lineRule="auto"/>
              <w:jc w:val="center"/>
              <w:rPr>
                <w:rFonts w:hint="default" w:ascii="Times New Roman" w:hAnsi="Times New Roman" w:cs="Times New Roman"/>
                <w:color w:val="auto"/>
                <w:szCs w:val="21"/>
                <w:highlight w:val="none"/>
              </w:rPr>
            </w:pPr>
          </w:p>
        </w:tc>
        <w:tc>
          <w:tcPr>
            <w:tcW w:w="386" w:type="dxa"/>
            <w:vAlign w:val="center"/>
          </w:tcPr>
          <w:p>
            <w:pPr>
              <w:spacing w:line="288" w:lineRule="auto"/>
              <w:jc w:val="center"/>
              <w:rPr>
                <w:rFonts w:hint="default" w:ascii="Times New Roman" w:hAnsi="Times New Roman" w:cs="Times New Roman"/>
                <w:color w:val="auto"/>
                <w:szCs w:val="21"/>
                <w:highlight w:val="none"/>
              </w:rPr>
            </w:pPr>
          </w:p>
        </w:tc>
        <w:tc>
          <w:tcPr>
            <w:tcW w:w="1249" w:type="dxa"/>
            <w:vAlign w:val="center"/>
          </w:tcPr>
          <w:p>
            <w:pPr>
              <w:spacing w:line="288" w:lineRule="auto"/>
              <w:jc w:val="center"/>
              <w:rPr>
                <w:rFonts w:hint="default" w:ascii="Times New Roman" w:hAnsi="Times New Roman" w:cs="Times New Roman"/>
                <w:color w:val="auto"/>
                <w:szCs w:val="21"/>
                <w:highlight w:val="none"/>
              </w:rPr>
            </w:pPr>
          </w:p>
        </w:tc>
        <w:tc>
          <w:tcPr>
            <w:tcW w:w="427" w:type="dxa"/>
            <w:vAlign w:val="center"/>
          </w:tcPr>
          <w:p>
            <w:pPr>
              <w:spacing w:line="288" w:lineRule="auto"/>
              <w:jc w:val="center"/>
              <w:rPr>
                <w:rFonts w:hint="default" w:ascii="Times New Roman" w:hAnsi="Times New Roman" w:cs="Times New Roman"/>
                <w:color w:val="auto"/>
                <w:szCs w:val="21"/>
                <w:highlight w:val="none"/>
              </w:rPr>
            </w:pPr>
          </w:p>
        </w:tc>
        <w:tc>
          <w:tcPr>
            <w:tcW w:w="1138" w:type="dxa"/>
            <w:vAlign w:val="center"/>
          </w:tcPr>
          <w:p>
            <w:pPr>
              <w:spacing w:line="288" w:lineRule="auto"/>
              <w:jc w:val="center"/>
              <w:rPr>
                <w:rFonts w:hint="default" w:ascii="Times New Roman" w:hAnsi="Times New Roman" w:cs="Times New Roman"/>
                <w:color w:val="auto"/>
                <w:szCs w:val="21"/>
                <w:highlight w:val="none"/>
              </w:rPr>
            </w:pPr>
          </w:p>
        </w:tc>
        <w:tc>
          <w:tcPr>
            <w:tcW w:w="1281" w:type="dxa"/>
            <w:vAlign w:val="center"/>
          </w:tcPr>
          <w:p>
            <w:pPr>
              <w:spacing w:line="288" w:lineRule="auto"/>
              <w:jc w:val="center"/>
              <w:rPr>
                <w:rFonts w:hint="default" w:ascii="Times New Roman" w:hAnsi="Times New Roman" w:cs="Times New Roman"/>
                <w:color w:val="auto"/>
                <w:szCs w:val="21"/>
                <w:highlight w:val="none"/>
              </w:rPr>
            </w:pPr>
          </w:p>
        </w:tc>
        <w:tc>
          <w:tcPr>
            <w:tcW w:w="1281" w:type="dxa"/>
          </w:tcPr>
          <w:p>
            <w:pPr>
              <w:spacing w:line="288" w:lineRule="auto"/>
              <w:jc w:val="center"/>
              <w:rPr>
                <w:rFonts w:hint="default" w:ascii="Times New Roman" w:hAnsi="Times New Roman" w:cs="Times New Roman"/>
                <w:color w:val="auto"/>
                <w:szCs w:val="21"/>
                <w:highlight w:val="none"/>
              </w:rPr>
            </w:pPr>
          </w:p>
        </w:tc>
      </w:tr>
    </w:tbl>
    <w:p>
      <w:pPr>
        <w:spacing w:line="360" w:lineRule="auto"/>
        <w:ind w:firstLine="480" w:firstLineChars="200"/>
        <w:rPr>
          <w:rFonts w:hint="default" w:ascii="Times New Roman" w:hAnsi="Times New Roman" w:cs="Times New Roman"/>
          <w:color w:val="auto"/>
          <w:sz w:val="24"/>
          <w:szCs w:val="24"/>
          <w:highlight w:val="none"/>
        </w:rPr>
      </w:pP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3"/>
        <w:numPr>
          <w:ilvl w:val="0"/>
          <w:numId w:val="15"/>
        </w:numPr>
        <w:spacing w:after="156"/>
        <w:rPr>
          <w:rFonts w:hint="default" w:ascii="Times New Roman" w:hAnsi="Times New Roman" w:cs="Times New Roman"/>
          <w:color w:val="auto"/>
          <w:highlight w:val="none"/>
        </w:rPr>
      </w:pPr>
      <w:bookmarkStart w:id="124" w:name="_Toc124520266"/>
      <w:r>
        <w:rPr>
          <w:rFonts w:hint="default" w:ascii="Times New Roman" w:hAnsi="Times New Roman" w:cs="Times New Roman"/>
          <w:color w:val="auto"/>
          <w:highlight w:val="none"/>
        </w:rPr>
        <w:t>水系统</w:t>
      </w:r>
      <w:bookmarkEnd w:id="124"/>
    </w:p>
    <w:p>
      <w:pPr>
        <w:pStyle w:val="4"/>
        <w:numPr>
          <w:ilvl w:val="0"/>
          <w:numId w:val="17"/>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系统设计</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系统设计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除采用蓄冷蓄热水池供冷供热和空气处理需喷水处理方式等情况外，空调冷热水均采用闭式循环水系统</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只要求按季节进行供冷和供热转换的空气调节系统，采用两管制水系统</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restart"/>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当建筑物内部分空气调节区需全年供冷水,部分空气调节区冷、热水定期交替供应时，采用分区两管制水系统</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全年运行过程中,供冷和供热工况频繁交替转换或需同时使用的空气调节系统，采用四管制水系统</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循环冷却水系统及空调冷、热水系统设置水处理设施</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restart"/>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空气调节水系统的定压和膨胀，采用高位膨胀水箱方式</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除空调冷水系统和空调热水系统的设计流量、管网阻力特性及水泵工作特性相近的情况，两管制空调水系统分别设置冷水和热水循环泵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供暖空调冷、热水水温和供回水温差要求一致且各区域管路压力损失相差不大的中小型工程，采用变流量一级泵系统;当单台水泵功率大于30kW时，空调冷热水采用冷热水机组和负荷侧均变流量的一级泵系统，且一级泵采用变速变流量调节方式，冷热水一级泵变速变流量确保设备的适应性、控制方案和运行管理可靠</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采用换热器加热或冷却的二次空调水系统的循环水泵采用变速变流量调节方式</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集中供暖系统采用热水作为热媒</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bl>
    <w:p>
      <w:pPr>
        <w:spacing w:line="360" w:lineRule="auto"/>
        <w:rPr>
          <w:rFonts w:hint="default" w:ascii="Times New Roman" w:hAnsi="Times New Roman" w:cs="Times New Roman"/>
          <w:color w:val="auto"/>
          <w:sz w:val="24"/>
          <w:szCs w:val="24"/>
          <w:highlight w:val="none"/>
        </w:rPr>
      </w:pPr>
    </w:p>
    <w:p>
      <w:pPr>
        <w:pStyle w:val="3"/>
        <w:numPr>
          <w:ilvl w:val="0"/>
          <w:numId w:val="15"/>
        </w:numPr>
        <w:spacing w:after="156"/>
        <w:rPr>
          <w:rFonts w:hint="default" w:ascii="Times New Roman" w:hAnsi="Times New Roman" w:cs="Times New Roman"/>
          <w:color w:val="auto"/>
          <w:highlight w:val="none"/>
        </w:rPr>
      </w:pPr>
      <w:bookmarkStart w:id="125" w:name="_Toc124520267"/>
      <w:r>
        <w:rPr>
          <w:rFonts w:hint="default" w:ascii="Times New Roman" w:hAnsi="Times New Roman" w:cs="Times New Roman"/>
          <w:color w:val="auto"/>
          <w:highlight w:val="none"/>
        </w:rPr>
        <w:t>风系统</w:t>
      </w:r>
      <w:bookmarkEnd w:id="125"/>
    </w:p>
    <w:p>
      <w:pPr>
        <w:pStyle w:val="4"/>
        <w:numPr>
          <w:ilvl w:val="0"/>
          <w:numId w:val="18"/>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保障室内热环境</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采用集中供暖空调系统的建筑，房间内的温度、湿度、新风量等设计参数符合现行国家标准《民用建筑供暖通风与空气调节设计规范》GB50736的有关规定：□是■否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采用非集中供暖空调系统的建筑，具有保障室内热环境的措施或预留条件：■是□否</w:t>
      </w:r>
    </w:p>
    <w:tbl>
      <w:tblPr>
        <w:tblStyle w:val="14"/>
        <w:tblW w:w="0" w:type="auto"/>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6"/>
        <w:gridCol w:w="1985"/>
        <w:gridCol w:w="18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4"/>
            <w:shd w:val="clear" w:color="auto" w:fill="9FD3A4"/>
            <w:noWrap/>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主要功能房间室内设计新风量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552" w:type="dxa"/>
            <w:vMerge w:val="restart"/>
            <w:noWrap/>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房间类型</w:t>
            </w:r>
          </w:p>
        </w:tc>
        <w:tc>
          <w:tcPr>
            <w:tcW w:w="2126" w:type="dxa"/>
            <w:vMerge w:val="restart"/>
            <w:vAlign w:val="center"/>
          </w:tcPr>
          <w:p>
            <w:pPr>
              <w:pStyle w:val="21"/>
              <w:spacing w:line="288" w:lineRule="auto"/>
              <w:jc w:val="center"/>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人员密度（人/m</w:t>
            </w:r>
            <w:r>
              <w:rPr>
                <w:rFonts w:hint="default" w:ascii="Times New Roman" w:hAnsi="Times New Roman" w:cs="Times New Roman"/>
                <w:bCs/>
                <w:color w:val="auto"/>
                <w:sz w:val="21"/>
                <w:szCs w:val="21"/>
                <w:highlight w:val="none"/>
                <w:vertAlign w:val="superscript"/>
              </w:rPr>
              <w:t>2</w:t>
            </w:r>
            <w:r>
              <w:rPr>
                <w:rFonts w:hint="default" w:ascii="Times New Roman" w:hAnsi="Times New Roman" w:cs="Times New Roman"/>
                <w:bCs/>
                <w:color w:val="auto"/>
                <w:sz w:val="21"/>
                <w:szCs w:val="21"/>
                <w:highlight w:val="none"/>
              </w:rPr>
              <w:t>）</w:t>
            </w:r>
          </w:p>
        </w:tc>
        <w:tc>
          <w:tcPr>
            <w:tcW w:w="3829" w:type="dxa"/>
            <w:gridSpan w:val="2"/>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bCs/>
                <w:color w:val="auto"/>
                <w:szCs w:val="21"/>
                <w:highlight w:val="none"/>
              </w:rPr>
              <w:t>新风量[m</w:t>
            </w:r>
            <w:r>
              <w:rPr>
                <w:rFonts w:hint="default" w:ascii="Times New Roman" w:hAnsi="Times New Roman" w:cs="Times New Roman"/>
                <w:bCs/>
                <w:color w:val="auto"/>
                <w:szCs w:val="21"/>
                <w:highlight w:val="none"/>
                <w:vertAlign w:val="superscript"/>
              </w:rPr>
              <w:t>3</w:t>
            </w:r>
            <w:r>
              <w:rPr>
                <w:rFonts w:hint="default" w:ascii="Times New Roman" w:hAnsi="Times New Roman" w:cs="Times New Roman"/>
                <w:bCs/>
                <w:color w:val="auto"/>
                <w:szCs w:val="21"/>
                <w:highlight w:val="none"/>
              </w:rPr>
              <w:t>/(h·人)]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552" w:type="dxa"/>
            <w:vMerge w:val="continue"/>
            <w:noWrap/>
            <w:vAlign w:val="center"/>
          </w:tcPr>
          <w:p>
            <w:pPr>
              <w:pStyle w:val="21"/>
              <w:spacing w:line="288" w:lineRule="auto"/>
              <w:jc w:val="center"/>
              <w:outlineLvl w:val="9"/>
              <w:rPr>
                <w:rFonts w:hint="default" w:ascii="Times New Roman" w:hAnsi="Times New Roman" w:cs="Times New Roman"/>
                <w:bCs/>
                <w:color w:val="auto"/>
                <w:sz w:val="21"/>
                <w:szCs w:val="21"/>
                <w:highlight w:val="none"/>
              </w:rPr>
            </w:pPr>
          </w:p>
        </w:tc>
        <w:tc>
          <w:tcPr>
            <w:tcW w:w="2126" w:type="dxa"/>
            <w:vMerge w:val="continue"/>
            <w:vAlign w:val="center"/>
          </w:tcPr>
          <w:p>
            <w:pPr>
              <w:pStyle w:val="21"/>
              <w:spacing w:line="288" w:lineRule="auto"/>
              <w:jc w:val="center"/>
              <w:outlineLvl w:val="9"/>
              <w:rPr>
                <w:rFonts w:hint="default" w:ascii="Times New Roman" w:hAnsi="Times New Roman" w:cs="Times New Roman"/>
                <w:bCs/>
                <w:color w:val="auto"/>
                <w:sz w:val="21"/>
                <w:szCs w:val="21"/>
                <w:highlight w:val="none"/>
              </w:rPr>
            </w:pPr>
          </w:p>
        </w:tc>
        <w:tc>
          <w:tcPr>
            <w:tcW w:w="1985" w:type="dxa"/>
            <w:noWrap/>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设计值</w:t>
            </w:r>
          </w:p>
        </w:tc>
        <w:tc>
          <w:tcPr>
            <w:tcW w:w="1844"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552" w:type="dxa"/>
            <w:noWrap/>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552" w:type="dxa"/>
            <w:noWrap/>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552" w:type="dxa"/>
            <w:noWrap/>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552" w:type="dxa"/>
            <w:noWrap/>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552" w:type="dxa"/>
            <w:noWrap/>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552" w:type="dxa"/>
            <w:noWrap/>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2552" w:type="dxa"/>
            <w:noWrap/>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 w:val="21"/>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color w:val="auto"/>
                <w:sz w:val="21"/>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2552" w:type="dxa"/>
            <w:noWrap/>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 w:val="21"/>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eastAsiaTheme="minorEastAsia"/>
                <w:bCs/>
                <w:color w:val="auto"/>
                <w:szCs w:val="21"/>
                <w:highlight w:val="none"/>
              </w:rPr>
            </w:pPr>
            <w:r>
              <w:rPr>
                <w:rFonts w:hint="default" w:ascii="Times New Roman" w:hAnsi="Times New Roman" w:cs="Times New Roman"/>
                <w:color w:val="auto"/>
                <w:sz w:val="21"/>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2552" w:type="dxa"/>
            <w:noWrap/>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 w:val="21"/>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eastAsiaTheme="minorEastAsia"/>
                <w:bCs/>
                <w:color w:val="auto"/>
                <w:szCs w:val="21"/>
                <w:highlight w:val="none"/>
              </w:rPr>
            </w:pPr>
            <w:r>
              <w:rPr>
                <w:rFonts w:hint="default" w:ascii="Times New Roman" w:hAnsi="Times New Roman" w:cs="Times New Roman"/>
                <w:color w:val="auto"/>
                <w:sz w:val="21"/>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2552" w:type="dxa"/>
            <w:noWrap/>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 w:val="21"/>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eastAsiaTheme="minorEastAsia"/>
                <w:bCs/>
                <w:color w:val="auto"/>
                <w:szCs w:val="21"/>
                <w:highlight w:val="none"/>
              </w:rPr>
            </w:pPr>
            <w:r>
              <w:rPr>
                <w:rFonts w:hint="default" w:ascii="Times New Roman" w:hAnsi="Times New Roman" w:cs="Times New Roman"/>
                <w:color w:val="auto"/>
                <w:sz w:val="21"/>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2552" w:type="dxa"/>
            <w:noWrap/>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 w:val="21"/>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eastAsiaTheme="minorEastAsia"/>
                <w:bCs/>
                <w:color w:val="auto"/>
                <w:szCs w:val="21"/>
                <w:highlight w:val="none"/>
              </w:rPr>
            </w:pPr>
            <w:r>
              <w:rPr>
                <w:rFonts w:hint="default" w:ascii="Times New Roman" w:hAnsi="Times New Roman" w:cs="Times New Roman"/>
                <w:color w:val="auto"/>
                <w:sz w:val="21"/>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2552" w:type="dxa"/>
            <w:noWrap/>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 w:val="21"/>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eastAsiaTheme="minorEastAsia"/>
                <w:bCs/>
                <w:color w:val="auto"/>
                <w:szCs w:val="21"/>
                <w:highlight w:val="none"/>
              </w:rPr>
            </w:pPr>
            <w:r>
              <w:rPr>
                <w:rFonts w:hint="default" w:ascii="Times New Roman" w:hAnsi="Times New Roman" w:cs="Times New Roman"/>
                <w:color w:val="auto"/>
                <w:sz w:val="21"/>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2552" w:type="dxa"/>
            <w:noWrap/>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 w:val="21"/>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eastAsiaTheme="minorEastAsia"/>
                <w:bCs/>
                <w:color w:val="auto"/>
                <w:szCs w:val="21"/>
                <w:highlight w:val="none"/>
              </w:rPr>
            </w:pPr>
            <w:r>
              <w:rPr>
                <w:rFonts w:hint="default" w:ascii="Times New Roman" w:hAnsi="Times New Roman" w:cs="Times New Roman"/>
                <w:color w:val="auto"/>
                <w:sz w:val="21"/>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2552" w:type="dxa"/>
            <w:noWrap/>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eastAsiaTheme="minorEastAsia"/>
                <w:bCs/>
                <w:color w:val="auto"/>
                <w:szCs w:val="21"/>
                <w:highlight w:val="none"/>
              </w:rPr>
            </w:pPr>
            <w:r>
              <w:rPr>
                <w:rFonts w:hint="default" w:ascii="Times New Roman" w:hAnsi="Times New Roman" w:cs="Times New Roman"/>
                <w:color w:val="auto"/>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2552" w:type="dxa"/>
            <w:noWrap/>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 w:val="21"/>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eastAsiaTheme="minorEastAsia"/>
                <w:bCs/>
                <w:color w:val="auto"/>
                <w:szCs w:val="21"/>
                <w:highlight w:val="none"/>
              </w:rPr>
            </w:pPr>
            <w:r>
              <w:rPr>
                <w:rFonts w:hint="default" w:ascii="Times New Roman" w:hAnsi="Times New Roman" w:cs="Times New Roman"/>
                <w:color w:val="auto"/>
                <w:sz w:val="21"/>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2552" w:type="dxa"/>
            <w:noWrap/>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 w:val="21"/>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eastAsiaTheme="minorEastAsia"/>
                <w:bCs/>
                <w:color w:val="auto"/>
                <w:szCs w:val="21"/>
                <w:highlight w:val="none"/>
              </w:rPr>
            </w:pPr>
            <w:r>
              <w:rPr>
                <w:rFonts w:hint="default" w:ascii="Times New Roman" w:hAnsi="Times New Roman" w:cs="Times New Roman"/>
                <w:color w:val="auto"/>
                <w:sz w:val="21"/>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2552" w:type="dxa"/>
            <w:noWrap/>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 w:val="21"/>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eastAsiaTheme="minorEastAsia"/>
                <w:bCs/>
                <w:color w:val="auto"/>
                <w:szCs w:val="21"/>
                <w:highlight w:val="none"/>
              </w:rPr>
            </w:pPr>
            <w:r>
              <w:rPr>
                <w:rFonts w:hint="default" w:ascii="Times New Roman" w:hAnsi="Times New Roman" w:cs="Times New Roman"/>
                <w:color w:val="auto"/>
                <w:sz w:val="21"/>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2552" w:type="dxa"/>
            <w:noWrap/>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2126" w:type="dxa"/>
          </w:tcPr>
          <w:p>
            <w:pPr>
              <w:jc w:val="center"/>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lang w:val="zh-CN"/>
              </w:rPr>
              <w:t>/</w:t>
            </w:r>
          </w:p>
        </w:tc>
        <w:tc>
          <w:tcPr>
            <w:tcW w:w="1985" w:type="dxa"/>
          </w:tcPr>
          <w:p>
            <w:pPr>
              <w:pStyle w:val="21"/>
              <w:spacing w:line="288" w:lineRule="auto"/>
              <w:jc w:val="center"/>
              <w:outlineLvl w:val="9"/>
              <w:rPr>
                <w:rFonts w:hint="default" w:ascii="Times New Roman" w:hAnsi="Times New Roman" w:cs="Times New Roman"/>
                <w:color w:val="auto"/>
                <w:sz w:val="21"/>
                <w:szCs w:val="21"/>
                <w:highlight w:val="none"/>
                <w:lang w:val="zh-CN"/>
              </w:rPr>
            </w:pPr>
            <w:r>
              <w:rPr>
                <w:rFonts w:hint="default" w:ascii="Times New Roman" w:hAnsi="Times New Roman" w:cs="Times New Roman"/>
                <w:color w:val="auto"/>
                <w:sz w:val="21"/>
                <w:szCs w:val="21"/>
                <w:highlight w:val="none"/>
                <w:lang w:val="zh-CN"/>
              </w:rPr>
              <w:t>/</w:t>
            </w:r>
          </w:p>
        </w:tc>
        <w:tc>
          <w:tcPr>
            <w:tcW w:w="1844" w:type="dxa"/>
          </w:tcPr>
          <w:p>
            <w:pPr>
              <w:pStyle w:val="21"/>
              <w:spacing w:line="288" w:lineRule="auto"/>
              <w:jc w:val="center"/>
              <w:outlineLvl w:val="9"/>
              <w:rPr>
                <w:rFonts w:hint="default" w:ascii="Times New Roman" w:hAnsi="Times New Roman" w:cs="Times New Roman" w:eastAsiaTheme="minorEastAsia"/>
                <w:bCs/>
                <w:color w:val="auto"/>
                <w:szCs w:val="21"/>
                <w:highlight w:val="none"/>
              </w:rPr>
            </w:pPr>
            <w:r>
              <w:rPr>
                <w:rFonts w:hint="default" w:ascii="Times New Roman" w:hAnsi="Times New Roman" w:cs="Times New Roman"/>
                <w:color w:val="auto"/>
                <w:sz w:val="21"/>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7" w:type="dxa"/>
            <w:gridSpan w:val="4"/>
            <w:noWrap/>
            <w:vAlign w:val="center"/>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注：</w:t>
            </w:r>
            <w:r>
              <w:rPr>
                <w:rFonts w:hint="default" w:ascii="Times New Roman" w:hAnsi="Times New Roman" w:cs="Times New Roman"/>
                <w:color w:val="auto"/>
                <w:szCs w:val="21"/>
                <w:highlight w:val="none"/>
                <w:lang w:val="zh-CN"/>
              </w:rPr>
              <w:t>对于设置分体空调、多联机的建筑或功能房间（一般应为建筑外区），如果具备开窗通风条件或设置了排气扇，不要求独立设置新风系统。</w:t>
            </w:r>
          </w:p>
        </w:tc>
      </w:tr>
    </w:tbl>
    <w:p>
      <w:pPr>
        <w:spacing w:line="360" w:lineRule="auto"/>
        <w:ind w:firstLine="480" w:firstLineChars="200"/>
        <w:rPr>
          <w:rFonts w:hint="default" w:ascii="Times New Roman" w:hAnsi="Times New Roman" w:cs="Times New Roman"/>
          <w:color w:val="auto"/>
          <w:sz w:val="24"/>
          <w:szCs w:val="24"/>
          <w:highlight w:val="none"/>
        </w:rPr>
      </w:pP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4"/>
        <w:numPr>
          <w:ilvl w:val="0"/>
          <w:numId w:val="19"/>
        </w:numPr>
        <w:spacing w:before="156" w:after="156"/>
        <w:ind w:firstLineChars="0"/>
        <w:rPr>
          <w:rFonts w:hint="default" w:ascii="Times New Roman" w:hAnsi="Times New Roman" w:cs="Times New Roman"/>
          <w:color w:val="auto"/>
          <w:highlight w:val="none"/>
        </w:rPr>
      </w:pPr>
      <w:bookmarkStart w:id="126" w:name="_Toc124520268"/>
      <w:r>
        <w:rPr>
          <w:rFonts w:hint="default" w:ascii="Times New Roman" w:hAnsi="Times New Roman" w:cs="Times New Roman"/>
          <w:color w:val="auto"/>
          <w:highlight w:val="none"/>
        </w:rPr>
        <w:t>风系统设计</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风系统设计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集中供暖通风与空气调节系统，进行室内设备的监测与控制</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restart"/>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拟采用分体空调系统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设置集中通风空调系统的公共建筑，在人员密度较高、流量集中且随时间变化较大的空间，设置全空气系统或者单一空间设置独立的新风系统，设置CO</w:t>
            </w:r>
            <w:r>
              <w:rPr>
                <w:rFonts w:hint="default" w:ascii="Times New Roman" w:hAnsi="Times New Roman" w:cs="Times New Roman"/>
                <w:color w:val="auto"/>
                <w:szCs w:val="21"/>
                <w:highlight w:val="none"/>
                <w:vertAlign w:val="subscript"/>
              </w:rPr>
              <w:t>2</w:t>
            </w:r>
            <w:r>
              <w:rPr>
                <w:rFonts w:hint="default" w:ascii="Times New Roman" w:hAnsi="Times New Roman" w:cs="Times New Roman"/>
                <w:color w:val="auto"/>
                <w:szCs w:val="21"/>
                <w:highlight w:val="none"/>
              </w:rPr>
              <w:t>浓度检测装置，并联动控制空调通风系统</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舒适性空调的全空气系统，具备最大限度利用室外新风作冷源的条件。新风入口、过滤器等按最大总新风比不低于70%设计，新风比可调节以满足增大新风量运行的要求。排风系统的设计和运行与新风量的变化相适应</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新风取风口距离室外吸烟区直线距离不小于8m</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建筑的吊顶上部存在较大发热量、或者吊顶空间的高度大于房间高度的1/3时，房间空调系统不采用吊顶回风的形式</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设置CO</w:t>
            </w:r>
            <w:r>
              <w:rPr>
                <w:rFonts w:hint="default" w:ascii="Times New Roman" w:hAnsi="Times New Roman" w:cs="Times New Roman"/>
                <w:color w:val="auto"/>
                <w:szCs w:val="21"/>
                <w:highlight w:val="none"/>
                <w:vertAlign w:val="subscript"/>
              </w:rPr>
              <w:t>2</w:t>
            </w:r>
            <w:r>
              <w:rPr>
                <w:rFonts w:hint="default" w:ascii="Times New Roman" w:hAnsi="Times New Roman" w:cs="Times New Roman"/>
                <w:color w:val="auto"/>
                <w:szCs w:val="21"/>
                <w:highlight w:val="none"/>
              </w:rPr>
              <w:t>浓度检测装置的独立新风系统及相应排风系统，以及电机功率不小于3kW的全空气空调系统风机采用变频技术，且采取相应的水力平衡措施</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对于集中空调系统的空气-空气能量回收装置，热交换效率不得低于60%</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jc w:val="center"/>
              <w:rPr>
                <w:rFonts w:hint="default" w:ascii="Times New Roman" w:hAnsi="Times New Roman" w:cs="Times New Roman"/>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对于分散空调房间的带热回收功能的双向换气装置，热交换效率不得低于55%</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bl>
    <w:p>
      <w:pPr>
        <w:spacing w:line="360" w:lineRule="auto"/>
        <w:rPr>
          <w:rFonts w:hint="default" w:ascii="Times New Roman" w:hAnsi="Times New Roman" w:cs="Times New Roman"/>
          <w:color w:val="auto"/>
          <w:sz w:val="24"/>
          <w:szCs w:val="24"/>
          <w:highlight w:val="none"/>
        </w:rPr>
      </w:pPr>
    </w:p>
    <w:p>
      <w:pPr>
        <w:spacing w:line="360" w:lineRule="auto"/>
        <w:rPr>
          <w:rFonts w:hint="default" w:ascii="Times New Roman" w:hAnsi="Times New Roman" w:cs="Times New Roman"/>
          <w:color w:val="auto"/>
          <w:sz w:val="24"/>
          <w:szCs w:val="24"/>
          <w:highlight w:val="none"/>
        </w:rPr>
      </w:pPr>
    </w:p>
    <w:p>
      <w:pPr>
        <w:spacing w:line="360" w:lineRule="auto"/>
        <w:rPr>
          <w:rFonts w:hint="default" w:ascii="Times New Roman" w:hAnsi="Times New Roman" w:cs="Times New Roman"/>
          <w:color w:val="auto"/>
          <w:sz w:val="24"/>
          <w:szCs w:val="24"/>
          <w:highlight w:val="none"/>
        </w:rPr>
      </w:pPr>
    </w:p>
    <w:p>
      <w:pPr>
        <w:pStyle w:val="3"/>
        <w:numPr>
          <w:ilvl w:val="0"/>
          <w:numId w:val="15"/>
        </w:numPr>
        <w:spacing w:after="156"/>
        <w:rPr>
          <w:rFonts w:hint="default" w:ascii="Times New Roman" w:hAnsi="Times New Roman" w:cs="Times New Roman"/>
          <w:color w:val="auto"/>
          <w:highlight w:val="none"/>
        </w:rPr>
      </w:pPr>
      <w:r>
        <w:rPr>
          <w:rFonts w:hint="default" w:ascii="Times New Roman" w:hAnsi="Times New Roman" w:cs="Times New Roman"/>
          <w:color w:val="auto"/>
          <w:highlight w:val="none"/>
        </w:rPr>
        <w:t>监测、控制</w:t>
      </w:r>
      <w:bookmarkEnd w:id="126"/>
    </w:p>
    <w:p>
      <w:pPr>
        <w:pStyle w:val="4"/>
        <w:numPr>
          <w:ilvl w:val="0"/>
          <w:numId w:val="20"/>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空调风系统的监测、控制</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40"/>
        <w:gridCol w:w="1311"/>
        <w:gridCol w:w="1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风系统的监测、控制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shd w:val="clear" w:color="auto" w:fill="9ED3A3"/>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空气温度的监测和控制功能</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restart"/>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拟采用分体空调系统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空气湿度的监测和控制功能</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vAlign w:val="center"/>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风机、风阀的启停连锁控制功能</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当采用变风量系统时，风机采用变速控制方式</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当利用室外免费冷源来进行变新风运行时，通过室内外焓值比较，来确定采用全新风运行或者最小新风运行</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设备运行状态的监测及故障报警功能</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过滤器超压报警或显示功能</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bl>
    <w:p>
      <w:pPr>
        <w:spacing w:line="360" w:lineRule="auto"/>
        <w:ind w:firstLine="480" w:firstLineChars="200"/>
        <w:rPr>
          <w:rFonts w:hint="default" w:ascii="Times New Roman" w:hAnsi="Times New Roman" w:cs="Times New Roman"/>
          <w:color w:val="auto"/>
          <w:sz w:val="24"/>
          <w:szCs w:val="24"/>
          <w:highlight w:val="none"/>
        </w:rPr>
      </w:pPr>
    </w:p>
    <w:p>
      <w:pPr>
        <w:pStyle w:val="4"/>
        <w:numPr>
          <w:ilvl w:val="0"/>
          <w:numId w:val="20"/>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空调冷、热源系统的控制</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40"/>
        <w:gridCol w:w="1311"/>
        <w:gridCol w:w="1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冷、热源系统的控制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shd w:val="clear" w:color="auto" w:fill="9ED3A3"/>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能进行冷水机组的台数控制</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restart"/>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拟采用分体空调系统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能进行水泵的台数控制</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能进行冷水（热泵）机组或热交换器、水泵、阀门等设备的顺序启停和连锁控制</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能对供、回水温度及压差进行控制或监测，二级泵能进行自动变速控制</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能对设备运行状态进行监测及故障报警</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vAlign w:val="center"/>
          </w:tcPr>
          <w:p>
            <w:pPr>
              <w:jc w:val="center"/>
              <w:rPr>
                <w:rFonts w:hint="default" w:ascii="Times New Roman" w:hAnsi="Times New Roman" w:cs="Times New Roman"/>
                <w:color w:val="auto"/>
                <w:kern w:val="0"/>
                <w:szCs w:val="21"/>
                <w:highlight w:val="none"/>
              </w:rPr>
            </w:pPr>
          </w:p>
        </w:tc>
      </w:tr>
    </w:tbl>
    <w:p>
      <w:pPr>
        <w:spacing w:line="360" w:lineRule="auto"/>
        <w:rPr>
          <w:rFonts w:hint="default" w:ascii="Times New Roman" w:hAnsi="Times New Roman" w:cs="Times New Roman"/>
          <w:color w:val="auto"/>
          <w:sz w:val="24"/>
          <w:szCs w:val="24"/>
          <w:highlight w:val="none"/>
        </w:rPr>
      </w:pPr>
    </w:p>
    <w:p>
      <w:pPr>
        <w:spacing w:line="360" w:lineRule="auto"/>
        <w:rPr>
          <w:rFonts w:hint="default" w:ascii="Times New Roman" w:hAnsi="Times New Roman" w:cs="Times New Roman"/>
          <w:color w:val="auto"/>
          <w:sz w:val="24"/>
          <w:szCs w:val="24"/>
          <w:highlight w:val="none"/>
        </w:rPr>
      </w:pPr>
    </w:p>
    <w:p>
      <w:pPr>
        <w:rPr>
          <w:rFonts w:hint="default" w:ascii="Times New Roman" w:hAnsi="Times New Roman" w:cs="Times New Roman"/>
          <w:color w:val="auto"/>
          <w:highlight w:val="none"/>
        </w:rPr>
      </w:pPr>
    </w:p>
    <w:p>
      <w:pPr>
        <w:pStyle w:val="4"/>
        <w:numPr>
          <w:ilvl w:val="0"/>
          <w:numId w:val="20"/>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空调冷却水系统的控制</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40"/>
        <w:gridCol w:w="1311"/>
        <w:gridCol w:w="1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冷却水系统的控制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shd w:val="clear" w:color="auto" w:fill="9ED3A3"/>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冷水机组运行时，冷却水最低回水温度的控制</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restart"/>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拟采用分体空调系统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冷却塔的风机运行台数控制或风机调速控制</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采用冷却塔供应空调冷水时的供水温度控制</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能进行冷却塔的自动排污控制</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tcPr>
          <w:p>
            <w:pPr>
              <w:jc w:val="center"/>
              <w:rPr>
                <w:rFonts w:hint="default" w:ascii="Times New Roman" w:hAnsi="Times New Roman" w:cs="Times New Roman"/>
                <w:color w:val="auto"/>
                <w:kern w:val="0"/>
                <w:szCs w:val="21"/>
                <w:highlight w:val="none"/>
              </w:rPr>
            </w:pPr>
          </w:p>
        </w:tc>
      </w:tr>
    </w:tbl>
    <w:p>
      <w:pPr>
        <w:spacing w:line="360" w:lineRule="auto"/>
        <w:ind w:firstLine="480" w:firstLineChars="200"/>
        <w:rPr>
          <w:rFonts w:hint="default" w:ascii="Times New Roman" w:hAnsi="Times New Roman" w:cs="Times New Roman"/>
          <w:color w:val="auto"/>
          <w:sz w:val="24"/>
          <w:szCs w:val="24"/>
          <w:highlight w:val="none"/>
        </w:rPr>
      </w:pPr>
    </w:p>
    <w:p>
      <w:pPr>
        <w:pStyle w:val="4"/>
        <w:numPr>
          <w:ilvl w:val="0"/>
          <w:numId w:val="20"/>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其他控制</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40"/>
        <w:gridCol w:w="1311"/>
        <w:gridCol w:w="1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其他控制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shd w:val="clear" w:color="auto" w:fill="9ED3A3"/>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vAlign w:val="center"/>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当空调系统采用间歇运行时，设自动启停控制装置；控制装置具备按预定时间进行最优启停的功能</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restart"/>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拟采用分体空调系统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风机盘管采用电动水阀和风速相结合的控制方式</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对末端变水量系统中的风机盘管，采用电动温控阀和风速相结合的控制方式</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公共建筑锅炉房和换热机房设置供热量自动控制装置，并满足</w:t>
            </w:r>
            <w:r>
              <w:rPr>
                <w:rFonts w:hint="default" w:ascii="Times New Roman" w:hAnsi="Times New Roman" w:cs="Times New Roman"/>
                <w:color w:val="auto"/>
                <w:kern w:val="0"/>
                <w:szCs w:val="21"/>
                <w:highlight w:val="none"/>
              </w:rPr>
              <w:t>浙江省《公共建筑节能设计标准》DB33/1036的设计要求</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全空气空调系统能进行风机、风阀和水阀的启停连锁控制，能按使用时间进行定时启停控制；采用变风量系统时，风机采用变速控制方式</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vAlign w:val="center"/>
          </w:tcPr>
          <w:p>
            <w:pPr>
              <w:jc w:val="center"/>
              <w:rPr>
                <w:rFonts w:hint="default" w:ascii="Times New Roman" w:hAnsi="Times New Roman" w:cs="Times New Roman"/>
                <w:color w:val="auto"/>
                <w:kern w:val="0"/>
                <w:szCs w:val="21"/>
                <w:highlight w:val="none"/>
              </w:rPr>
            </w:pPr>
          </w:p>
        </w:tc>
      </w:tr>
    </w:tbl>
    <w:p>
      <w:pPr>
        <w:spacing w:line="360" w:lineRule="auto"/>
        <w:rPr>
          <w:rFonts w:hint="default" w:ascii="Times New Roman" w:hAnsi="Times New Roman" w:cs="Times New Roman"/>
          <w:color w:val="auto"/>
          <w:sz w:val="24"/>
          <w:szCs w:val="24"/>
          <w:highlight w:val="none"/>
        </w:rPr>
      </w:pPr>
    </w:p>
    <w:p>
      <w:pPr>
        <w:pStyle w:val="3"/>
        <w:numPr>
          <w:ilvl w:val="0"/>
          <w:numId w:val="15"/>
        </w:numPr>
        <w:spacing w:after="156"/>
        <w:rPr>
          <w:rFonts w:hint="default" w:ascii="Times New Roman" w:hAnsi="Times New Roman" w:cs="Times New Roman"/>
          <w:color w:val="auto"/>
          <w:highlight w:val="none"/>
        </w:rPr>
      </w:pPr>
      <w:bookmarkStart w:id="127" w:name="_Toc124520269"/>
      <w:r>
        <w:rPr>
          <w:rFonts w:hint="default" w:ascii="Times New Roman" w:hAnsi="Times New Roman" w:cs="Times New Roman"/>
          <w:color w:val="auto"/>
          <w:highlight w:val="none"/>
        </w:rPr>
        <w:t>其他设计要求</w:t>
      </w:r>
      <w:bookmarkEnd w:id="127"/>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20"/>
        <w:gridCol w:w="1276"/>
        <w:gridCol w:w="13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其他设计要求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20" w:type="dxa"/>
            <w:shd w:val="clear" w:color="auto" w:fill="9ED3A3"/>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措施分项</w:t>
            </w:r>
          </w:p>
        </w:tc>
        <w:tc>
          <w:tcPr>
            <w:tcW w:w="1276"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326"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2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室内游泳池空调采用全空气空调系统，并具备全新风运行功能，冬季排风采取热回收措施</w:t>
            </w:r>
          </w:p>
        </w:tc>
        <w:tc>
          <w:tcPr>
            <w:tcW w:w="127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326"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2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集中空调的冷热水系统循环水泵耗电输冷（热）比通过详细的水力计算，确定合理的空调供暖冷、热水循环泵的流量和扬程，并选择水泵的设计运行工作点处于高效区</w:t>
            </w:r>
          </w:p>
        </w:tc>
        <w:tc>
          <w:tcPr>
            <w:tcW w:w="127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32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2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空调系统的新风和回风设置初、中效过滤或净化设施</w:t>
            </w:r>
          </w:p>
        </w:tc>
        <w:tc>
          <w:tcPr>
            <w:tcW w:w="127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326"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2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空调冷、热源系统的控制能根据末端需求进行水泵台数和转速的控制</w:t>
            </w:r>
          </w:p>
        </w:tc>
        <w:tc>
          <w:tcPr>
            <w:tcW w:w="127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326"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2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设置集中空调系统且技术经济条件合理时，优先选择地表水水源热泵和土壤源热泵等系统</w:t>
            </w:r>
          </w:p>
        </w:tc>
        <w:tc>
          <w:tcPr>
            <w:tcW w:w="127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32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20"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有低温冷媒可利用时，除空气相对湿度或送风量要求较大的空调区外，采用低温送风空调系统</w:t>
            </w:r>
          </w:p>
        </w:tc>
        <w:tc>
          <w:tcPr>
            <w:tcW w:w="127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32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20"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在技术条件可靠时，对空调冷、热源机组出水温度进行优化设定</w:t>
            </w:r>
          </w:p>
        </w:tc>
        <w:tc>
          <w:tcPr>
            <w:tcW w:w="127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326"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20"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公共建筑中多联式空调（热泵）系统设置集中控制系统</w:t>
            </w:r>
          </w:p>
        </w:tc>
        <w:tc>
          <w:tcPr>
            <w:tcW w:w="127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326"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20"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公共建筑锅炉房、换热机房和制冷机房进行能量计量，计量项满足</w:t>
            </w:r>
            <w:r>
              <w:rPr>
                <w:rFonts w:hint="default" w:ascii="Times New Roman" w:hAnsi="Times New Roman" w:cs="Times New Roman"/>
                <w:color w:val="auto"/>
                <w:kern w:val="0"/>
                <w:szCs w:val="21"/>
                <w:highlight w:val="none"/>
              </w:rPr>
              <w:t>浙江省《公共建筑节能设计标准》DB33/1036的要求</w:t>
            </w:r>
          </w:p>
        </w:tc>
        <w:tc>
          <w:tcPr>
            <w:tcW w:w="127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32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20" w:type="dxa"/>
            <w:vMerge w:val="restart"/>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设计变风量全空气空气调节系统时，采用变频自动调节风机转速的方式，并在设计文件中标明每个变风量末端装置的最小送风量</w:t>
            </w:r>
          </w:p>
        </w:tc>
        <w:tc>
          <w:tcPr>
            <w:tcW w:w="127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326"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20" w:type="dxa"/>
            <w:vMerge w:val="continue"/>
          </w:tcPr>
          <w:p>
            <w:pPr>
              <w:spacing w:line="360" w:lineRule="auto"/>
              <w:rPr>
                <w:rFonts w:hint="default" w:ascii="Times New Roman" w:hAnsi="Times New Roman" w:cs="Times New Roman"/>
                <w:color w:val="auto"/>
                <w:szCs w:val="21"/>
                <w:highlight w:val="none"/>
              </w:rPr>
            </w:pPr>
          </w:p>
        </w:tc>
        <w:tc>
          <w:tcPr>
            <w:tcW w:w="127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326"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20" w:type="dxa"/>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空气调节系统中组合式空气调节机组的漏风率不大于1%</w:t>
            </w:r>
          </w:p>
        </w:tc>
        <w:tc>
          <w:tcPr>
            <w:tcW w:w="127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326"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bl>
    <w:p>
      <w:pPr>
        <w:rPr>
          <w:rFonts w:hint="default" w:ascii="Times New Roman" w:hAnsi="Times New Roman" w:cs="Times New Roman"/>
          <w:color w:val="auto"/>
          <w:sz w:val="28"/>
          <w:highlight w:val="none"/>
        </w:rPr>
      </w:pPr>
      <w:bookmarkStart w:id="128" w:name="_Toc533426687"/>
      <w:bookmarkStart w:id="129" w:name="_Toc384284846"/>
      <w:bookmarkStart w:id="130" w:name="_Toc391477881"/>
      <w:bookmarkStart w:id="131" w:name="_Toc391469271"/>
    </w:p>
    <w:p>
      <w:pPr>
        <w:pStyle w:val="2"/>
        <w:numPr>
          <w:ilvl w:val="0"/>
          <w:numId w:val="1"/>
        </w:numPr>
        <w:spacing w:before="156" w:after="156"/>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bookmarkStart w:id="132" w:name="_Toc24431"/>
      <w:bookmarkStart w:id="133" w:name="_Toc124520270"/>
      <w:r>
        <w:rPr>
          <w:rFonts w:hint="default" w:ascii="Times New Roman" w:hAnsi="Times New Roman" w:cs="Times New Roman"/>
          <w:color w:val="auto"/>
          <w:highlight w:val="none"/>
        </w:rPr>
        <w:t>建筑电气设计</w:t>
      </w:r>
      <w:bookmarkEnd w:id="128"/>
      <w:bookmarkEnd w:id="129"/>
      <w:bookmarkEnd w:id="130"/>
      <w:bookmarkEnd w:id="131"/>
      <w:bookmarkEnd w:id="132"/>
      <w:bookmarkEnd w:id="133"/>
    </w:p>
    <w:p>
      <w:pPr>
        <w:pStyle w:val="3"/>
        <w:numPr>
          <w:ilvl w:val="0"/>
          <w:numId w:val="21"/>
        </w:numPr>
        <w:spacing w:after="156"/>
        <w:rPr>
          <w:rFonts w:hint="default" w:ascii="Times New Roman" w:hAnsi="Times New Roman" w:cs="Times New Roman"/>
          <w:color w:val="auto"/>
          <w:highlight w:val="none"/>
        </w:rPr>
      </w:pPr>
      <w:bookmarkStart w:id="134" w:name="_Toc124520271"/>
      <w:r>
        <w:rPr>
          <w:rFonts w:hint="default" w:ascii="Times New Roman" w:hAnsi="Times New Roman" w:cs="Times New Roman"/>
          <w:color w:val="auto"/>
          <w:highlight w:val="none"/>
        </w:rPr>
        <w:t>供配电系统</w:t>
      </w:r>
      <w:bookmarkEnd w:id="134"/>
    </w:p>
    <w:p>
      <w:pPr>
        <w:spacing w:line="360" w:lineRule="auto"/>
        <w:ind w:firstLine="480" w:firstLineChars="200"/>
        <w:rPr>
          <w:rFonts w:hint="default" w:ascii="Times New Roman" w:hAnsi="Times New Roman" w:cs="Times New Roman"/>
          <w:color w:val="auto"/>
          <w:sz w:val="24"/>
          <w:szCs w:val="24"/>
          <w:highlight w:val="none"/>
        </w:rPr>
      </w:pPr>
      <w:bookmarkStart w:id="135" w:name="_Hlk113486050"/>
      <w:r>
        <w:rPr>
          <w:rFonts w:hint="default" w:ascii="Times New Roman" w:hAnsi="Times New Roman" w:cs="Times New Roman"/>
          <w:color w:val="auto"/>
          <w:sz w:val="24"/>
          <w:szCs w:val="24"/>
          <w:highlight w:val="none"/>
        </w:rPr>
        <w:t>220V/380V系统的供电半径不大于250m</w:t>
      </w:r>
      <w:bookmarkEnd w:id="135"/>
      <w:r>
        <w:rPr>
          <w:rFonts w:hint="default" w:ascii="Times New Roman" w:hAnsi="Times New Roman" w:cs="Times New Roman"/>
          <w:color w:val="auto"/>
          <w:sz w:val="24"/>
          <w:szCs w:val="24"/>
          <w:highlight w:val="none"/>
        </w:rPr>
        <w:t>：■是□否</w:t>
      </w:r>
    </w:p>
    <w:p>
      <w:pPr>
        <w:spacing w:line="360" w:lineRule="auto"/>
        <w:ind w:firstLine="480" w:firstLineChars="200"/>
        <w:rPr>
          <w:rFonts w:hint="default" w:ascii="Times New Roman" w:hAnsi="Times New Roman" w:cs="Times New Roman"/>
          <w:color w:val="auto"/>
          <w:sz w:val="24"/>
          <w:szCs w:val="24"/>
          <w:highlight w:val="none"/>
        </w:rPr>
      </w:pPr>
      <w:bookmarkStart w:id="136" w:name="_Hlk124186389"/>
      <w:r>
        <w:rPr>
          <w:rFonts w:hint="default" w:ascii="Times New Roman" w:hAnsi="Times New Roman" w:cs="Times New Roman"/>
          <w:color w:val="auto"/>
          <w:sz w:val="24"/>
          <w:szCs w:val="24"/>
          <w:highlight w:val="none"/>
        </w:rPr>
        <w:t>三相配电变压器满足国家现行有关标准的节能评价值的要求</w:t>
      </w:r>
      <w:bookmarkEnd w:id="136"/>
      <w:r>
        <w:rPr>
          <w:rFonts w:hint="default" w:ascii="Times New Roman" w:hAnsi="Times New Roman" w:cs="Times New Roman"/>
          <w:color w:val="auto"/>
          <w:sz w:val="24"/>
          <w:szCs w:val="24"/>
          <w:highlight w:val="none"/>
        </w:rPr>
        <w:t>：■是□否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电力变压器、电动机、交流接触器的能效水平高于能效等级3级的要求：■是□否</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1"/>
        <w:gridCol w:w="709"/>
        <w:gridCol w:w="850"/>
        <w:gridCol w:w="807"/>
        <w:gridCol w:w="753"/>
        <w:gridCol w:w="806"/>
        <w:gridCol w:w="753"/>
        <w:gridCol w:w="807"/>
        <w:gridCol w:w="752"/>
        <w:gridCol w:w="709"/>
        <w:gridCol w:w="8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11"/>
            <w:shd w:val="clear" w:color="auto" w:fill="9FD3A4"/>
            <w:vAlign w:val="center"/>
          </w:tcPr>
          <w:p>
            <w:pPr>
              <w:pStyle w:val="21"/>
              <w:spacing w:line="288" w:lineRule="auto"/>
              <w:outlineLvl w:val="9"/>
              <w:rPr>
                <w:rFonts w:hint="default" w:ascii="Times New Roman" w:hAnsi="Times New Roman" w:cs="Times New Roman"/>
                <w:b/>
                <w:color w:val="auto"/>
                <w:sz w:val="21"/>
                <w:szCs w:val="21"/>
                <w:highlight w:val="none"/>
                <w:lang w:val="zh-CN"/>
              </w:rPr>
            </w:pPr>
            <w:r>
              <w:rPr>
                <w:rFonts w:hint="default" w:ascii="Times New Roman" w:hAnsi="Times New Roman" w:cs="Times New Roman"/>
                <w:b/>
                <w:color w:val="auto"/>
                <w:sz w:val="21"/>
                <w:szCs w:val="21"/>
                <w:highlight w:val="none"/>
                <w:lang w:val="zh-CN"/>
              </w:rPr>
              <w:t>三相配电变压器节能评价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1" w:type="dxa"/>
            <w:vMerge w:val="restart"/>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额定容量</w:t>
            </w:r>
          </w:p>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kVA</w:t>
            </w:r>
          </w:p>
        </w:tc>
        <w:tc>
          <w:tcPr>
            <w:tcW w:w="6237" w:type="dxa"/>
            <w:gridSpan w:val="8"/>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损耗W</w:t>
            </w:r>
          </w:p>
        </w:tc>
        <w:tc>
          <w:tcPr>
            <w:tcW w:w="1557" w:type="dxa"/>
            <w:gridSpan w:val="2"/>
            <w:vMerge w:val="restart"/>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短路阻抗（Ux）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1" w:type="dxa"/>
            <w:vMerge w:val="continue"/>
            <w:vAlign w:val="center"/>
          </w:tcPr>
          <w:p>
            <w:pPr>
              <w:widowControl/>
              <w:spacing w:line="288" w:lineRule="auto"/>
              <w:jc w:val="left"/>
              <w:rPr>
                <w:rFonts w:hint="default" w:ascii="Times New Roman" w:hAnsi="Times New Roman" w:cs="Times New Roman"/>
                <w:bCs/>
                <w:color w:val="auto"/>
                <w:kern w:val="0"/>
                <w:szCs w:val="21"/>
                <w:highlight w:val="none"/>
                <w:lang w:val="zh-CN"/>
              </w:rPr>
            </w:pPr>
          </w:p>
        </w:tc>
        <w:tc>
          <w:tcPr>
            <w:tcW w:w="1559" w:type="dxa"/>
            <w:gridSpan w:val="2"/>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空载（P0）</w:t>
            </w:r>
          </w:p>
        </w:tc>
        <w:tc>
          <w:tcPr>
            <w:tcW w:w="4678" w:type="dxa"/>
            <w:gridSpan w:val="6"/>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负载（Px）</w:t>
            </w:r>
          </w:p>
        </w:tc>
        <w:tc>
          <w:tcPr>
            <w:tcW w:w="1557" w:type="dxa"/>
            <w:gridSpan w:val="2"/>
            <w:vMerge w:val="continue"/>
            <w:vAlign w:val="center"/>
          </w:tcPr>
          <w:p>
            <w:pPr>
              <w:widowControl/>
              <w:spacing w:line="288" w:lineRule="auto"/>
              <w:jc w:val="left"/>
              <w:rPr>
                <w:rFonts w:hint="default" w:ascii="Times New Roman" w:hAnsi="Times New Roman" w:cs="Times New Roman"/>
                <w:bCs/>
                <w:color w:val="auto"/>
                <w:kern w:val="0"/>
                <w:szCs w:val="21"/>
                <w:highlight w:val="none"/>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1" w:type="dxa"/>
            <w:vMerge w:val="continue"/>
            <w:vAlign w:val="center"/>
          </w:tcPr>
          <w:p>
            <w:pPr>
              <w:widowControl/>
              <w:spacing w:line="288" w:lineRule="auto"/>
              <w:jc w:val="left"/>
              <w:rPr>
                <w:rFonts w:hint="default" w:ascii="Times New Roman" w:hAnsi="Times New Roman" w:cs="Times New Roman"/>
                <w:bCs/>
                <w:color w:val="auto"/>
                <w:kern w:val="0"/>
                <w:szCs w:val="21"/>
                <w:highlight w:val="none"/>
                <w:lang w:val="zh-CN"/>
              </w:rPr>
            </w:pPr>
          </w:p>
        </w:tc>
        <w:tc>
          <w:tcPr>
            <w:tcW w:w="709" w:type="dxa"/>
            <w:vMerge w:val="restart"/>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设计值</w:t>
            </w:r>
          </w:p>
        </w:tc>
        <w:tc>
          <w:tcPr>
            <w:tcW w:w="850" w:type="dxa"/>
            <w:vMerge w:val="restart"/>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节能评价值</w:t>
            </w:r>
          </w:p>
        </w:tc>
        <w:tc>
          <w:tcPr>
            <w:tcW w:w="1560" w:type="dxa"/>
            <w:gridSpan w:val="2"/>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B（100℃）</w:t>
            </w:r>
          </w:p>
        </w:tc>
        <w:tc>
          <w:tcPr>
            <w:tcW w:w="1559" w:type="dxa"/>
            <w:gridSpan w:val="2"/>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F（1</w:t>
            </w:r>
            <w:r>
              <w:rPr>
                <w:rFonts w:hint="default" w:ascii="Times New Roman" w:hAnsi="Times New Roman" w:cs="Times New Roman"/>
                <w:bCs/>
                <w:color w:val="auto"/>
                <w:kern w:val="0"/>
                <w:szCs w:val="21"/>
                <w:highlight w:val="none"/>
                <w:lang w:val="zh-CN"/>
              </w:rPr>
              <w:t>2</w:t>
            </w:r>
            <w:r>
              <w:rPr>
                <w:rFonts w:hint="default" w:ascii="Times New Roman" w:hAnsi="Times New Roman" w:cs="Times New Roman"/>
                <w:bCs/>
                <w:color w:val="auto"/>
                <w:kern w:val="0"/>
                <w:szCs w:val="21"/>
                <w:highlight w:val="none"/>
                <w:lang w:val="zh-CN"/>
              </w:rPr>
              <w:t>0℃）</w:t>
            </w:r>
          </w:p>
        </w:tc>
        <w:tc>
          <w:tcPr>
            <w:tcW w:w="1559" w:type="dxa"/>
            <w:gridSpan w:val="2"/>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H（1</w:t>
            </w:r>
            <w:r>
              <w:rPr>
                <w:rFonts w:hint="default" w:ascii="Times New Roman" w:hAnsi="Times New Roman" w:cs="Times New Roman"/>
                <w:bCs/>
                <w:color w:val="auto"/>
                <w:kern w:val="0"/>
                <w:szCs w:val="21"/>
                <w:highlight w:val="none"/>
                <w:lang w:val="zh-CN"/>
              </w:rPr>
              <w:t>45</w:t>
            </w:r>
            <w:r>
              <w:rPr>
                <w:rFonts w:hint="default" w:ascii="Times New Roman" w:hAnsi="Times New Roman" w:cs="Times New Roman"/>
                <w:bCs/>
                <w:color w:val="auto"/>
                <w:kern w:val="0"/>
                <w:szCs w:val="21"/>
                <w:highlight w:val="none"/>
                <w:lang w:val="zh-CN"/>
              </w:rPr>
              <w:t>℃）</w:t>
            </w:r>
          </w:p>
        </w:tc>
        <w:tc>
          <w:tcPr>
            <w:tcW w:w="709" w:type="dxa"/>
            <w:vMerge w:val="restart"/>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设计值</w:t>
            </w:r>
          </w:p>
        </w:tc>
        <w:tc>
          <w:tcPr>
            <w:tcW w:w="848" w:type="dxa"/>
            <w:vMerge w:val="restart"/>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1" w:type="dxa"/>
            <w:vMerge w:val="continue"/>
            <w:vAlign w:val="center"/>
          </w:tcPr>
          <w:p>
            <w:pPr>
              <w:widowControl/>
              <w:spacing w:line="288" w:lineRule="auto"/>
              <w:jc w:val="left"/>
              <w:rPr>
                <w:rFonts w:hint="default" w:ascii="Times New Roman" w:hAnsi="Times New Roman" w:cs="Times New Roman"/>
                <w:bCs/>
                <w:color w:val="auto"/>
                <w:kern w:val="0"/>
                <w:szCs w:val="21"/>
                <w:highlight w:val="none"/>
                <w:lang w:val="zh-CN"/>
              </w:rPr>
            </w:pPr>
          </w:p>
        </w:tc>
        <w:tc>
          <w:tcPr>
            <w:tcW w:w="709" w:type="dxa"/>
            <w:vMerge w:val="continue"/>
            <w:vAlign w:val="center"/>
          </w:tcPr>
          <w:p>
            <w:pPr>
              <w:widowControl/>
              <w:spacing w:line="288" w:lineRule="auto"/>
              <w:jc w:val="left"/>
              <w:rPr>
                <w:rFonts w:hint="default" w:ascii="Times New Roman" w:hAnsi="Times New Roman" w:cs="Times New Roman"/>
                <w:bCs/>
                <w:color w:val="auto"/>
                <w:kern w:val="0"/>
                <w:szCs w:val="21"/>
                <w:highlight w:val="none"/>
                <w:lang w:val="zh-CN"/>
              </w:rPr>
            </w:pPr>
          </w:p>
        </w:tc>
        <w:tc>
          <w:tcPr>
            <w:tcW w:w="850" w:type="dxa"/>
            <w:vMerge w:val="continue"/>
            <w:vAlign w:val="center"/>
          </w:tcPr>
          <w:p>
            <w:pPr>
              <w:widowControl/>
              <w:spacing w:line="288" w:lineRule="auto"/>
              <w:jc w:val="left"/>
              <w:rPr>
                <w:rFonts w:hint="default" w:ascii="Times New Roman" w:hAnsi="Times New Roman" w:cs="Times New Roman"/>
                <w:bCs/>
                <w:color w:val="auto"/>
                <w:kern w:val="0"/>
                <w:szCs w:val="21"/>
                <w:highlight w:val="none"/>
                <w:lang w:val="zh-CN"/>
              </w:rPr>
            </w:pPr>
          </w:p>
        </w:tc>
        <w:tc>
          <w:tcPr>
            <w:tcW w:w="807" w:type="dxa"/>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设计值</w:t>
            </w:r>
          </w:p>
        </w:tc>
        <w:tc>
          <w:tcPr>
            <w:tcW w:w="753" w:type="dxa"/>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节能评价值</w:t>
            </w:r>
          </w:p>
        </w:tc>
        <w:tc>
          <w:tcPr>
            <w:tcW w:w="806" w:type="dxa"/>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设计值</w:t>
            </w:r>
          </w:p>
        </w:tc>
        <w:tc>
          <w:tcPr>
            <w:tcW w:w="753" w:type="dxa"/>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节能评价值</w:t>
            </w:r>
          </w:p>
        </w:tc>
        <w:tc>
          <w:tcPr>
            <w:tcW w:w="807" w:type="dxa"/>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设计值</w:t>
            </w:r>
          </w:p>
        </w:tc>
        <w:tc>
          <w:tcPr>
            <w:tcW w:w="752" w:type="dxa"/>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节能评价值</w:t>
            </w:r>
          </w:p>
        </w:tc>
        <w:tc>
          <w:tcPr>
            <w:tcW w:w="709" w:type="dxa"/>
            <w:vMerge w:val="continue"/>
            <w:vAlign w:val="center"/>
          </w:tcPr>
          <w:p>
            <w:pPr>
              <w:widowControl/>
              <w:spacing w:line="288" w:lineRule="auto"/>
              <w:jc w:val="left"/>
              <w:rPr>
                <w:rFonts w:hint="default" w:ascii="Times New Roman" w:hAnsi="Times New Roman" w:cs="Times New Roman"/>
                <w:bCs/>
                <w:color w:val="auto"/>
                <w:kern w:val="0"/>
                <w:szCs w:val="21"/>
                <w:highlight w:val="none"/>
                <w:lang w:val="zh-CN"/>
              </w:rPr>
            </w:pPr>
          </w:p>
        </w:tc>
        <w:tc>
          <w:tcPr>
            <w:tcW w:w="848" w:type="dxa"/>
            <w:vMerge w:val="continue"/>
            <w:vAlign w:val="center"/>
          </w:tcPr>
          <w:p>
            <w:pPr>
              <w:widowControl/>
              <w:spacing w:line="288" w:lineRule="auto"/>
              <w:jc w:val="left"/>
              <w:rPr>
                <w:rFonts w:hint="default" w:ascii="Times New Roman" w:hAnsi="Times New Roman" w:cs="Times New Roman"/>
                <w:bCs/>
                <w:color w:val="auto"/>
                <w:kern w:val="0"/>
                <w:szCs w:val="21"/>
                <w:highlight w:val="none"/>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1" w:type="dxa"/>
          </w:tcPr>
          <w:p>
            <w:pPr>
              <w:spacing w:line="288" w:lineRule="auto"/>
              <w:jc w:val="center"/>
              <w:rPr>
                <w:rFonts w:hint="default" w:ascii="Times New Roman" w:hAnsi="Times New Roman" w:cs="Times New Roman"/>
                <w:bCs/>
                <w:color w:val="auto"/>
                <w:kern w:val="0"/>
                <w:szCs w:val="21"/>
                <w:highlight w:val="none"/>
                <w:lang w:val="en-US" w:eastAsia="zh-CN"/>
              </w:rPr>
            </w:pPr>
            <w:r>
              <w:rPr>
                <w:rFonts w:hint="default" w:ascii="Times New Roman" w:hAnsi="Times New Roman" w:cs="Times New Roman"/>
                <w:bCs/>
                <w:color w:val="auto"/>
                <w:kern w:val="0"/>
                <w:szCs w:val="21"/>
                <w:highlight w:val="none"/>
                <w:lang w:val="en-US" w:eastAsia="zh-CN"/>
              </w:rPr>
              <w:t>500</w:t>
            </w:r>
          </w:p>
        </w:tc>
        <w:tc>
          <w:tcPr>
            <w:tcW w:w="709" w:type="dxa"/>
          </w:tcPr>
          <w:p>
            <w:pPr>
              <w:spacing w:line="288" w:lineRule="auto"/>
              <w:jc w:val="center"/>
              <w:rPr>
                <w:rFonts w:hint="default" w:ascii="Times New Roman" w:hAnsi="Times New Roman" w:cs="Times New Roman"/>
                <w:bCs/>
                <w:color w:val="auto"/>
                <w:kern w:val="0"/>
                <w:szCs w:val="21"/>
                <w:highlight w:val="none"/>
                <w:lang w:val="en-US" w:eastAsia="zh-CN"/>
              </w:rPr>
            </w:pPr>
            <w:r>
              <w:rPr>
                <w:rFonts w:hint="default" w:ascii="Times New Roman" w:hAnsi="Times New Roman" w:cs="Times New Roman"/>
                <w:bCs/>
                <w:color w:val="auto"/>
                <w:kern w:val="0"/>
                <w:szCs w:val="21"/>
                <w:highlight w:val="none"/>
                <w:lang w:val="en-US" w:eastAsia="zh-CN"/>
              </w:rPr>
              <w:t>360</w:t>
            </w:r>
          </w:p>
        </w:tc>
        <w:tc>
          <w:tcPr>
            <w:tcW w:w="850" w:type="dxa"/>
          </w:tcPr>
          <w:p>
            <w:pPr>
              <w:spacing w:line="288" w:lineRule="auto"/>
              <w:jc w:val="center"/>
              <w:rPr>
                <w:rFonts w:hint="default" w:ascii="Times New Roman" w:hAnsi="Times New Roman" w:eastAsia="宋体" w:cs="Times New Roman"/>
                <w:bCs/>
                <w:color w:val="auto"/>
                <w:kern w:val="0"/>
                <w:szCs w:val="21"/>
                <w:highlight w:val="none"/>
                <w:lang w:val="en-US" w:eastAsia="zh-CN"/>
              </w:rPr>
            </w:pPr>
            <w:r>
              <w:rPr>
                <w:rFonts w:hint="default" w:ascii="Times New Roman" w:hAnsi="Times New Roman" w:cs="Times New Roman"/>
                <w:bCs/>
                <w:color w:val="auto"/>
                <w:kern w:val="0"/>
                <w:szCs w:val="21"/>
                <w:highlight w:val="none"/>
                <w:lang w:val="en-US" w:eastAsia="zh-CN"/>
              </w:rPr>
              <w:t>360</w:t>
            </w:r>
          </w:p>
        </w:tc>
        <w:tc>
          <w:tcPr>
            <w:tcW w:w="807" w:type="dxa"/>
          </w:tcPr>
          <w:p>
            <w:pPr>
              <w:spacing w:line="288" w:lineRule="auto"/>
              <w:jc w:val="center"/>
              <w:rPr>
                <w:rFonts w:hint="default" w:ascii="Times New Roman" w:hAnsi="Times New Roman" w:cs="Times New Roman"/>
                <w:bCs/>
                <w:color w:val="auto"/>
                <w:kern w:val="0"/>
                <w:szCs w:val="21"/>
                <w:highlight w:val="none"/>
                <w:lang w:val="en-US" w:eastAsia="zh-CN"/>
              </w:rPr>
            </w:pPr>
            <w:r>
              <w:rPr>
                <w:rFonts w:hint="default" w:ascii="Times New Roman" w:hAnsi="Times New Roman" w:cs="Times New Roman"/>
                <w:bCs/>
                <w:color w:val="auto"/>
                <w:kern w:val="0"/>
                <w:szCs w:val="21"/>
                <w:highlight w:val="none"/>
                <w:lang w:val="en-US" w:eastAsia="zh-CN"/>
              </w:rPr>
              <w:t>4590</w:t>
            </w:r>
          </w:p>
        </w:tc>
        <w:tc>
          <w:tcPr>
            <w:tcW w:w="753" w:type="dxa"/>
            <w:vAlign w:val="top"/>
          </w:tcPr>
          <w:p>
            <w:pPr>
              <w:spacing w:line="288" w:lineRule="auto"/>
              <w:jc w:val="center"/>
              <w:rPr>
                <w:rFonts w:hint="default" w:ascii="Times New Roman" w:hAnsi="Times New Roman" w:eastAsia="宋体" w:cs="Times New Roman"/>
                <w:bCs/>
                <w:color w:val="auto"/>
                <w:kern w:val="0"/>
                <w:szCs w:val="21"/>
                <w:highlight w:val="none"/>
                <w:lang w:val="en-US" w:eastAsia="zh-CN"/>
              </w:rPr>
            </w:pPr>
            <w:r>
              <w:rPr>
                <w:rFonts w:hint="default" w:ascii="Times New Roman" w:hAnsi="Times New Roman" w:cs="Times New Roman"/>
                <w:bCs/>
                <w:color w:val="auto"/>
                <w:kern w:val="0"/>
                <w:szCs w:val="21"/>
                <w:highlight w:val="none"/>
                <w:lang w:val="en-US" w:eastAsia="zh-CN"/>
              </w:rPr>
              <w:t>4590</w:t>
            </w:r>
          </w:p>
        </w:tc>
        <w:tc>
          <w:tcPr>
            <w:tcW w:w="806" w:type="dxa"/>
          </w:tcPr>
          <w:p>
            <w:pPr>
              <w:spacing w:line="288" w:lineRule="auto"/>
              <w:jc w:val="center"/>
              <w:rPr>
                <w:rFonts w:hint="default" w:ascii="Times New Roman" w:hAnsi="Times New Roman" w:cs="Times New Roman"/>
                <w:bCs/>
                <w:color w:val="auto"/>
                <w:kern w:val="0"/>
                <w:szCs w:val="21"/>
                <w:highlight w:val="none"/>
                <w:lang w:val="en-US" w:eastAsia="zh-CN"/>
              </w:rPr>
            </w:pPr>
            <w:r>
              <w:rPr>
                <w:rFonts w:hint="default" w:ascii="Times New Roman" w:hAnsi="Times New Roman" w:cs="Times New Roman"/>
                <w:bCs/>
                <w:color w:val="auto"/>
                <w:kern w:val="0"/>
                <w:szCs w:val="21"/>
                <w:highlight w:val="none"/>
                <w:lang w:val="en-US" w:eastAsia="zh-CN"/>
              </w:rPr>
              <w:t>4880</w:t>
            </w:r>
          </w:p>
        </w:tc>
        <w:tc>
          <w:tcPr>
            <w:tcW w:w="753" w:type="dxa"/>
            <w:vAlign w:val="top"/>
          </w:tcPr>
          <w:p>
            <w:pPr>
              <w:spacing w:line="288" w:lineRule="auto"/>
              <w:jc w:val="center"/>
              <w:rPr>
                <w:rFonts w:hint="default" w:ascii="Times New Roman" w:hAnsi="Times New Roman" w:eastAsia="宋体" w:cs="Times New Roman"/>
                <w:bCs/>
                <w:color w:val="auto"/>
                <w:kern w:val="0"/>
                <w:szCs w:val="21"/>
                <w:highlight w:val="none"/>
                <w:lang w:val="en-US" w:eastAsia="zh-CN"/>
              </w:rPr>
            </w:pPr>
            <w:r>
              <w:rPr>
                <w:rFonts w:hint="default" w:ascii="Times New Roman" w:hAnsi="Times New Roman" w:cs="Times New Roman"/>
                <w:bCs/>
                <w:color w:val="auto"/>
                <w:kern w:val="0"/>
                <w:szCs w:val="21"/>
                <w:highlight w:val="none"/>
                <w:lang w:val="en-US" w:eastAsia="zh-CN"/>
              </w:rPr>
              <w:t>4880</w:t>
            </w:r>
          </w:p>
        </w:tc>
        <w:tc>
          <w:tcPr>
            <w:tcW w:w="807" w:type="dxa"/>
          </w:tcPr>
          <w:p>
            <w:pPr>
              <w:spacing w:line="288" w:lineRule="auto"/>
              <w:jc w:val="center"/>
              <w:rPr>
                <w:rFonts w:hint="default" w:ascii="Times New Roman" w:hAnsi="Times New Roman" w:cs="Times New Roman"/>
                <w:bCs/>
                <w:color w:val="auto"/>
                <w:kern w:val="0"/>
                <w:szCs w:val="21"/>
                <w:highlight w:val="none"/>
                <w:lang w:val="en-US" w:eastAsia="zh-CN"/>
              </w:rPr>
            </w:pPr>
            <w:r>
              <w:rPr>
                <w:rFonts w:hint="default" w:ascii="Times New Roman" w:hAnsi="Times New Roman" w:cs="Times New Roman"/>
                <w:bCs/>
                <w:color w:val="auto"/>
                <w:kern w:val="0"/>
                <w:szCs w:val="21"/>
                <w:highlight w:val="none"/>
                <w:lang w:val="en-US" w:eastAsia="zh-CN"/>
              </w:rPr>
              <w:t>5230</w:t>
            </w:r>
          </w:p>
        </w:tc>
        <w:tc>
          <w:tcPr>
            <w:tcW w:w="752" w:type="dxa"/>
            <w:vAlign w:val="top"/>
          </w:tcPr>
          <w:p>
            <w:pPr>
              <w:spacing w:line="288" w:lineRule="auto"/>
              <w:jc w:val="center"/>
              <w:rPr>
                <w:rFonts w:hint="default" w:ascii="Times New Roman" w:hAnsi="Times New Roman" w:eastAsia="宋体" w:cs="Times New Roman"/>
                <w:bCs/>
                <w:color w:val="auto"/>
                <w:kern w:val="0"/>
                <w:szCs w:val="21"/>
                <w:highlight w:val="none"/>
                <w:lang w:val="en-US" w:eastAsia="zh-CN"/>
              </w:rPr>
            </w:pPr>
            <w:r>
              <w:rPr>
                <w:rFonts w:hint="default" w:ascii="Times New Roman" w:hAnsi="Times New Roman" w:cs="Times New Roman"/>
                <w:bCs/>
                <w:color w:val="auto"/>
                <w:kern w:val="0"/>
                <w:szCs w:val="21"/>
                <w:highlight w:val="none"/>
                <w:lang w:val="en-US" w:eastAsia="zh-CN"/>
              </w:rPr>
              <w:t>5230</w:t>
            </w:r>
          </w:p>
        </w:tc>
        <w:tc>
          <w:tcPr>
            <w:tcW w:w="709" w:type="dxa"/>
          </w:tcPr>
          <w:p>
            <w:pPr>
              <w:spacing w:line="288" w:lineRule="auto"/>
              <w:jc w:val="center"/>
              <w:rPr>
                <w:rFonts w:hint="default" w:ascii="Times New Roman" w:hAnsi="Times New Roman" w:cs="Times New Roman"/>
                <w:bCs/>
                <w:color w:val="auto"/>
                <w:kern w:val="0"/>
                <w:szCs w:val="21"/>
                <w:highlight w:val="none"/>
                <w:lang w:val="en-US" w:eastAsia="zh-CN"/>
              </w:rPr>
            </w:pPr>
            <w:r>
              <w:rPr>
                <w:rFonts w:hint="default" w:ascii="Times New Roman" w:hAnsi="Times New Roman" w:cs="Times New Roman"/>
                <w:bCs/>
                <w:color w:val="auto"/>
                <w:kern w:val="0"/>
                <w:szCs w:val="21"/>
                <w:highlight w:val="none"/>
                <w:lang w:val="en-US" w:eastAsia="zh-CN"/>
              </w:rPr>
              <w:t>4.0</w:t>
            </w:r>
          </w:p>
        </w:tc>
        <w:tc>
          <w:tcPr>
            <w:tcW w:w="848" w:type="dxa"/>
          </w:tcPr>
          <w:p>
            <w:pPr>
              <w:spacing w:line="288" w:lineRule="auto"/>
              <w:jc w:val="center"/>
              <w:rPr>
                <w:rFonts w:hint="default" w:ascii="Times New Roman" w:hAnsi="Times New Roman" w:cs="Times New Roman"/>
                <w:bCs/>
                <w:color w:val="auto"/>
                <w:kern w:val="0"/>
                <w:szCs w:val="21"/>
                <w:highlight w:val="none"/>
                <w:lang w:val="en-US" w:eastAsia="zh-CN"/>
              </w:rPr>
            </w:pPr>
            <w:r>
              <w:rPr>
                <w:rFonts w:hint="default" w:ascii="Times New Roman" w:hAnsi="Times New Roman" w:cs="Times New Roman"/>
                <w:bCs/>
                <w:color w:val="auto"/>
                <w:kern w:val="0"/>
                <w:szCs w:val="21"/>
                <w:highlight w:val="none"/>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1"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709"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850"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807"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753"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806"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753"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807"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752"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709"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848"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1"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709"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850"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807"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753"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806"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753"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807"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752"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709"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848" w:type="dxa"/>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11"/>
            <w:vAlign w:val="center"/>
          </w:tcPr>
          <w:p>
            <w:pPr>
              <w:spacing w:line="288" w:lineRule="auto"/>
              <w:rPr>
                <w:rFonts w:hint="default" w:ascii="Times New Roman" w:hAnsi="Times New Roman" w:cs="Times New Roman"/>
                <w:color w:val="auto"/>
                <w:szCs w:val="21"/>
                <w:highlight w:val="none"/>
              </w:rPr>
            </w:pPr>
            <w:r>
              <w:rPr>
                <w:rFonts w:hint="default" w:ascii="Times New Roman" w:hAnsi="Times New Roman" w:cs="Times New Roman"/>
                <w:bCs/>
                <w:color w:val="auto"/>
                <w:kern w:val="0"/>
                <w:szCs w:val="21"/>
                <w:highlight w:val="none"/>
                <w:lang w:val="zh-CN"/>
              </w:rPr>
              <w:t>注：</w:t>
            </w:r>
            <w:r>
              <w:rPr>
                <w:rFonts w:hint="default" w:ascii="Times New Roman" w:hAnsi="Times New Roman" w:cs="Times New Roman"/>
                <w:bCs/>
                <w:color w:val="auto"/>
                <w:kern w:val="0"/>
                <w:szCs w:val="21"/>
                <w:highlight w:val="none"/>
              </w:rPr>
              <w:t>二星级要求，电力</w:t>
            </w:r>
            <w:r>
              <w:rPr>
                <w:rFonts w:hint="default" w:ascii="Times New Roman" w:hAnsi="Times New Roman" w:cs="Times New Roman"/>
                <w:color w:val="auto"/>
                <w:szCs w:val="21"/>
                <w:highlight w:val="none"/>
              </w:rPr>
              <w:t>变压器的能效水平不应低于能效等级2级的要求；三</w:t>
            </w:r>
            <w:r>
              <w:rPr>
                <w:rFonts w:hint="default" w:ascii="Times New Roman" w:hAnsi="Times New Roman" w:cs="Times New Roman"/>
                <w:bCs/>
                <w:color w:val="auto"/>
                <w:kern w:val="0"/>
                <w:szCs w:val="21"/>
                <w:highlight w:val="none"/>
              </w:rPr>
              <w:t>星级要求，电力</w:t>
            </w:r>
            <w:r>
              <w:rPr>
                <w:rFonts w:hint="default" w:ascii="Times New Roman" w:hAnsi="Times New Roman" w:cs="Times New Roman"/>
                <w:color w:val="auto"/>
                <w:szCs w:val="21"/>
                <w:highlight w:val="none"/>
              </w:rPr>
              <w:t>变压器的能效水平不应低于能效等级1级的要求。</w:t>
            </w:r>
          </w:p>
        </w:tc>
      </w:tr>
    </w:tbl>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合理选择单相负荷的相位，使三相尽量平衡，且三相电流的不平衡度不超过15%。三相供电的用户，照明、插座等同一类型的单相负荷不集中于同一相上：■是</w:t>
      </w:r>
      <w:r>
        <w:rPr>
          <w:rFonts w:hint="default" w:ascii="Times New Roman" w:hAnsi="Times New Roman" w:cs="Times New Roman"/>
          <w:color w:val="auto"/>
          <w:sz w:val="24"/>
          <w:szCs w:val="24"/>
          <w:highlight w:val="none"/>
          <w:lang w:eastAsia="zh-CN"/>
        </w:rPr>
        <w:t>□</w:t>
      </w:r>
      <w:r>
        <w:rPr>
          <w:rFonts w:hint="default" w:ascii="Times New Roman" w:hAnsi="Times New Roman" w:cs="Times New Roman"/>
          <w:color w:val="auto"/>
          <w:sz w:val="24"/>
          <w:szCs w:val="24"/>
          <w:highlight w:val="none"/>
        </w:rPr>
        <w:t>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当采用可再生能源发电系统时，优先采用并网系统：■是</w:t>
      </w:r>
      <w:r>
        <w:rPr>
          <w:rFonts w:hint="default" w:ascii="Times New Roman" w:hAnsi="Times New Roman" w:cs="Times New Roman"/>
          <w:color w:val="auto"/>
          <w:sz w:val="24"/>
          <w:szCs w:val="24"/>
          <w:highlight w:val="none"/>
          <w:lang w:eastAsia="zh-CN"/>
        </w:rPr>
        <w:t>□</w:t>
      </w:r>
      <w:r>
        <w:rPr>
          <w:rFonts w:hint="default" w:ascii="Times New Roman" w:hAnsi="Times New Roman" w:cs="Times New Roman"/>
          <w:color w:val="auto"/>
          <w:sz w:val="24"/>
          <w:szCs w:val="24"/>
          <w:highlight w:val="none"/>
        </w:rPr>
        <w:t>否</w:t>
      </w:r>
    </w:p>
    <w:p>
      <w:pPr>
        <w:spacing w:line="360" w:lineRule="auto"/>
        <w:ind w:firstLine="480" w:firstLineChars="200"/>
        <w:rPr>
          <w:rFonts w:hint="default" w:ascii="Times New Roman" w:hAnsi="Times New Roman" w:cs="Times New Roman"/>
          <w:color w:val="auto"/>
          <w:sz w:val="24"/>
          <w:szCs w:val="24"/>
          <w:highlight w:val="none"/>
        </w:rPr>
      </w:pPr>
    </w:p>
    <w:p>
      <w:pPr>
        <w:rPr>
          <w:rFonts w:hint="default" w:ascii="Times New Roman" w:hAnsi="Times New Roman" w:cs="Times New Roman"/>
          <w:color w:val="auto"/>
          <w:sz w:val="24"/>
          <w:szCs w:val="24"/>
          <w:highlight w:val="none"/>
        </w:rPr>
      </w:pPr>
    </w:p>
    <w:p>
      <w:pPr>
        <w:rPr>
          <w:rFonts w:hint="default" w:ascii="Times New Roman" w:hAnsi="Times New Roman" w:cs="Times New Roman"/>
          <w:color w:val="auto"/>
          <w:sz w:val="24"/>
          <w:szCs w:val="24"/>
          <w:highlight w:val="none"/>
        </w:rPr>
      </w:pPr>
    </w:p>
    <w:p>
      <w:pPr>
        <w:rPr>
          <w:rFonts w:hint="default" w:ascii="Times New Roman" w:hAnsi="Times New Roman" w:cs="Times New Roman"/>
          <w:color w:val="auto"/>
          <w:sz w:val="24"/>
          <w:szCs w:val="24"/>
          <w:highlight w:val="none"/>
        </w:rPr>
      </w:pPr>
    </w:p>
    <w:p>
      <w:pPr>
        <w:rPr>
          <w:rFonts w:hint="default" w:ascii="Times New Roman" w:hAnsi="Times New Roman" w:cs="Times New Roman"/>
          <w:color w:val="auto"/>
          <w:sz w:val="24"/>
          <w:szCs w:val="24"/>
          <w:highlight w:val="none"/>
        </w:rPr>
      </w:pPr>
    </w:p>
    <w:p>
      <w:pPr>
        <w:rPr>
          <w:rFonts w:hint="default" w:ascii="Times New Roman" w:hAnsi="Times New Roman" w:cs="Times New Roman"/>
          <w:color w:val="auto"/>
          <w:sz w:val="24"/>
          <w:szCs w:val="24"/>
          <w:highlight w:val="none"/>
        </w:rPr>
      </w:pPr>
    </w:p>
    <w:p>
      <w:pPr>
        <w:rPr>
          <w:rFonts w:hint="default" w:ascii="Times New Roman" w:hAnsi="Times New Roman" w:cs="Times New Roman"/>
          <w:color w:val="auto"/>
          <w:sz w:val="24"/>
          <w:szCs w:val="24"/>
          <w:highlight w:val="none"/>
        </w:rPr>
      </w:pPr>
    </w:p>
    <w:p>
      <w:pPr>
        <w:rPr>
          <w:rFonts w:hint="default" w:ascii="Times New Roman" w:hAnsi="Times New Roman" w:cs="Times New Roman"/>
          <w:color w:val="auto"/>
          <w:sz w:val="24"/>
          <w:szCs w:val="24"/>
          <w:highlight w:val="none"/>
        </w:rPr>
      </w:pPr>
    </w:p>
    <w:p>
      <w:pPr>
        <w:rPr>
          <w:rFonts w:hint="default" w:ascii="Times New Roman" w:hAnsi="Times New Roman" w:cs="Times New Roman"/>
          <w:color w:val="auto"/>
          <w:sz w:val="24"/>
          <w:szCs w:val="24"/>
          <w:highlight w:val="none"/>
        </w:rPr>
      </w:pPr>
    </w:p>
    <w:p>
      <w:pPr>
        <w:rPr>
          <w:rFonts w:hint="default" w:ascii="Times New Roman" w:hAnsi="Times New Roman" w:cs="Times New Roman"/>
          <w:color w:val="auto"/>
          <w:sz w:val="24"/>
          <w:szCs w:val="24"/>
          <w:highlight w:val="none"/>
        </w:rPr>
      </w:pPr>
    </w:p>
    <w:p>
      <w:pPr>
        <w:rPr>
          <w:rFonts w:hint="default" w:ascii="Times New Roman" w:hAnsi="Times New Roman" w:cs="Times New Roman"/>
          <w:color w:val="auto"/>
          <w:sz w:val="24"/>
          <w:szCs w:val="24"/>
          <w:highlight w:val="none"/>
        </w:rPr>
      </w:pPr>
    </w:p>
    <w:p>
      <w:pPr>
        <w:rPr>
          <w:rFonts w:hint="default" w:ascii="Times New Roman" w:hAnsi="Times New Roman" w:cs="Times New Roman"/>
          <w:color w:val="auto"/>
          <w:sz w:val="24"/>
          <w:szCs w:val="24"/>
          <w:highlight w:val="none"/>
        </w:rPr>
      </w:pP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设计说明提出谐波治理要求：■是□否</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40"/>
        <w:gridCol w:w="1311"/>
        <w:gridCol w:w="1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谐波治理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shd w:val="clear" w:color="auto" w:fill="9ED3A3"/>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bookmarkStart w:id="137" w:name="_Hlk124498129"/>
            <w:r>
              <w:rPr>
                <w:rFonts w:hint="default" w:ascii="Times New Roman" w:hAnsi="Times New Roman" w:cs="Times New Roman"/>
                <w:color w:val="auto"/>
                <w:kern w:val="0"/>
                <w:szCs w:val="21"/>
                <w:highlight w:val="none"/>
              </w:rPr>
              <w:t>供配电系统向公用电网注入的谐波电流满足现行国家标准《电能质量公用电网谐波》GB/T14549的规定</w:t>
            </w:r>
            <w:bookmarkEnd w:id="137"/>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restart"/>
            <w:vAlign w:val="center"/>
          </w:tcPr>
          <w:p>
            <w:pPr>
              <w:widowControl/>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电施</w:t>
            </w:r>
            <w:r>
              <w:rPr>
                <w:rFonts w:hint="default" w:ascii="Times New Roman" w:hAnsi="Times New Roman" w:cs="Times New Roman"/>
                <w:color w:val="auto"/>
                <w:kern w:val="0"/>
                <w:szCs w:val="21"/>
                <w:highlight w:val="none"/>
                <w:lang w:val="en-US" w:eastAsia="zh-CN"/>
              </w:rPr>
              <w:t>通</w:t>
            </w:r>
            <w:r>
              <w:rPr>
                <w:rFonts w:hint="default" w:ascii="Times New Roman" w:hAnsi="Times New Roman" w:cs="Times New Roman"/>
                <w:color w:val="auto"/>
                <w:kern w:val="0"/>
                <w:szCs w:val="21"/>
                <w:highlight w:val="none"/>
              </w:rPr>
              <w:t>-01强电设计说明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用电设备的谐波电流限值满足现行国家标准《电磁兼容限值谐波电流发射限值（设备每相输入电流≤16A)》GB17625.1、《电磁兼容限值对额定电流大于16A的设备在低压供电系统中产生的谐波电流的限制》GB/Z17625.6的要求</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功率较大、谐波严重的设备，由变电所专线供电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在变电所设置滤波器或预留滤波器的柜位</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40"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谐波源较大的机房或设备就地采取谐波抑制措施</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1"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bl>
    <w:p>
      <w:pPr>
        <w:rPr>
          <w:rFonts w:hint="default" w:ascii="Times New Roman" w:hAnsi="Times New Roman" w:cs="Times New Roman"/>
          <w:color w:val="auto"/>
          <w:highlight w:val="none"/>
        </w:rPr>
      </w:pPr>
    </w:p>
    <w:p>
      <w:pPr>
        <w:pStyle w:val="3"/>
        <w:numPr>
          <w:ilvl w:val="0"/>
          <w:numId w:val="21"/>
        </w:numPr>
        <w:spacing w:after="156"/>
        <w:rPr>
          <w:rFonts w:hint="default" w:ascii="Times New Roman" w:hAnsi="Times New Roman" w:cs="Times New Roman"/>
          <w:color w:val="auto"/>
          <w:highlight w:val="none"/>
        </w:rPr>
      </w:pPr>
      <w:bookmarkStart w:id="138" w:name="_Toc124520272"/>
      <w:r>
        <w:rPr>
          <w:rFonts w:hint="default" w:ascii="Times New Roman" w:hAnsi="Times New Roman" w:cs="Times New Roman"/>
          <w:color w:val="auto"/>
          <w:highlight w:val="none"/>
        </w:rPr>
        <w:t>照明</w:t>
      </w:r>
      <w:bookmarkEnd w:id="138"/>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照明产品满足国家现行有关标准的节能评价值的要求：</w:t>
      </w:r>
      <w:r>
        <w:rPr>
          <w:rFonts w:hint="default" w:ascii="Times New Roman" w:hAnsi="Times New Roman" w:cs="Times New Roman"/>
          <w:color w:val="auto"/>
          <w:kern w:val="0"/>
          <w:szCs w:val="21"/>
          <w:highlight w:val="none"/>
        </w:rPr>
        <w:t>■</w:t>
      </w:r>
      <w:r>
        <w:rPr>
          <w:rFonts w:hint="default" w:ascii="Times New Roman" w:hAnsi="Times New Roman" w:cs="Times New Roman"/>
          <w:color w:val="auto"/>
          <w:sz w:val="24"/>
          <w:szCs w:val="24"/>
          <w:highlight w:val="none"/>
        </w:rPr>
        <w:t>是□否</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850"/>
        <w:gridCol w:w="851"/>
        <w:gridCol w:w="808"/>
        <w:gridCol w:w="874"/>
        <w:gridCol w:w="929"/>
        <w:gridCol w:w="869"/>
        <w:gridCol w:w="929"/>
        <w:gridCol w:w="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8505" w:type="dxa"/>
            <w:gridSpan w:val="9"/>
            <w:tcBorders>
              <w:top w:val="single" w:color="auto" w:sz="4" w:space="0"/>
              <w:left w:val="single" w:color="auto" w:sz="4" w:space="0"/>
              <w:bottom w:val="single" w:color="auto" w:sz="4" w:space="0"/>
              <w:right w:val="single" w:color="auto" w:sz="4" w:space="0"/>
            </w:tcBorders>
            <w:shd w:val="clear" w:color="auto" w:fill="9FD3A4"/>
            <w:vAlign w:val="center"/>
          </w:tcPr>
          <w:p>
            <w:pPr>
              <w:pStyle w:val="21"/>
              <w:spacing w:line="288" w:lineRule="auto"/>
              <w:outlineLvl w:val="9"/>
              <w:rPr>
                <w:rFonts w:hint="default" w:ascii="Times New Roman" w:hAnsi="Times New Roman" w:cs="Times New Roman"/>
                <w:bCs/>
                <w:color w:val="auto"/>
                <w:sz w:val="21"/>
                <w:szCs w:val="21"/>
                <w:highlight w:val="none"/>
              </w:rPr>
            </w:pPr>
            <w:r>
              <w:rPr>
                <w:rFonts w:hint="default" w:ascii="Times New Roman" w:hAnsi="Times New Roman" w:cs="Times New Roman"/>
                <w:b/>
                <w:color w:val="auto"/>
                <w:sz w:val="21"/>
                <w:szCs w:val="21"/>
                <w:highlight w:val="none"/>
                <w:lang w:val="zh-CN"/>
              </w:rPr>
              <w:t>照明数量质量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1526" w:type="dxa"/>
            <w:vMerge w:val="restart"/>
            <w:tcBorders>
              <w:top w:val="single" w:color="auto" w:sz="4" w:space="0"/>
              <w:left w:val="single" w:color="auto" w:sz="4" w:space="0"/>
              <w:bottom w:val="single" w:color="auto" w:sz="4" w:space="0"/>
              <w:right w:val="single" w:color="auto" w:sz="4" w:space="0"/>
            </w:tcBorders>
            <w:shd w:val="clear" w:color="auto" w:fill="9FD3A4"/>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房间或场所</w:t>
            </w:r>
          </w:p>
        </w:tc>
        <w:tc>
          <w:tcPr>
            <w:tcW w:w="1701" w:type="dxa"/>
            <w:gridSpan w:val="2"/>
            <w:tcBorders>
              <w:top w:val="single" w:color="auto" w:sz="4" w:space="0"/>
              <w:left w:val="single" w:color="auto" w:sz="4" w:space="0"/>
              <w:bottom w:val="single" w:color="auto" w:sz="4" w:space="0"/>
              <w:right w:val="single" w:color="auto" w:sz="4" w:space="0"/>
            </w:tcBorders>
            <w:shd w:val="clear" w:color="auto" w:fill="9FD3A4"/>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照度（lx）</w:t>
            </w:r>
          </w:p>
        </w:tc>
        <w:tc>
          <w:tcPr>
            <w:tcW w:w="1682" w:type="dxa"/>
            <w:gridSpan w:val="2"/>
            <w:tcBorders>
              <w:top w:val="single" w:color="auto" w:sz="4" w:space="0"/>
              <w:left w:val="single" w:color="auto" w:sz="4" w:space="0"/>
              <w:bottom w:val="single" w:color="auto" w:sz="4" w:space="0"/>
              <w:right w:val="single" w:color="auto" w:sz="4" w:space="0"/>
            </w:tcBorders>
            <w:shd w:val="clear" w:color="auto" w:fill="9FD3A4"/>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统一眩光值</w:t>
            </w:r>
            <w:r>
              <w:rPr>
                <w:rFonts w:hint="default" w:ascii="Times New Roman" w:hAnsi="Times New Roman" w:cs="Times New Roman"/>
                <w:bCs/>
                <w:i/>
                <w:color w:val="auto"/>
                <w:sz w:val="21"/>
                <w:szCs w:val="21"/>
                <w:highlight w:val="none"/>
              </w:rPr>
              <w:t>UGR</w:t>
            </w:r>
          </w:p>
        </w:tc>
        <w:tc>
          <w:tcPr>
            <w:tcW w:w="1798" w:type="dxa"/>
            <w:gridSpan w:val="2"/>
            <w:tcBorders>
              <w:top w:val="single" w:color="auto" w:sz="4" w:space="0"/>
              <w:left w:val="single" w:color="auto" w:sz="4" w:space="0"/>
              <w:bottom w:val="single" w:color="auto" w:sz="4" w:space="0"/>
              <w:right w:val="single" w:color="auto" w:sz="4" w:space="0"/>
            </w:tcBorders>
            <w:shd w:val="clear" w:color="auto" w:fill="9FD3A4"/>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照度均匀度</w:t>
            </w:r>
            <w:r>
              <w:rPr>
                <w:rFonts w:hint="default" w:ascii="Times New Roman" w:hAnsi="Times New Roman" w:cs="Times New Roman"/>
                <w:bCs/>
                <w:i/>
                <w:color w:val="auto"/>
                <w:sz w:val="21"/>
                <w:szCs w:val="21"/>
                <w:highlight w:val="none"/>
              </w:rPr>
              <w:t>U</w:t>
            </w:r>
            <w:r>
              <w:rPr>
                <w:rFonts w:hint="default" w:ascii="Times New Roman" w:hAnsi="Times New Roman" w:cs="Times New Roman"/>
                <w:bCs/>
                <w:i/>
                <w:color w:val="auto"/>
                <w:sz w:val="21"/>
                <w:szCs w:val="21"/>
                <w:highlight w:val="none"/>
                <w:vertAlign w:val="subscript"/>
              </w:rPr>
              <w:t>0</w:t>
            </w:r>
          </w:p>
        </w:tc>
        <w:tc>
          <w:tcPr>
            <w:tcW w:w="1798" w:type="dxa"/>
            <w:gridSpan w:val="2"/>
            <w:tcBorders>
              <w:top w:val="single" w:color="auto" w:sz="4" w:space="0"/>
              <w:left w:val="single" w:color="auto" w:sz="4" w:space="0"/>
              <w:bottom w:val="single" w:color="auto" w:sz="4" w:space="0"/>
              <w:right w:val="single" w:color="auto" w:sz="4" w:space="0"/>
            </w:tcBorders>
            <w:shd w:val="clear" w:color="auto" w:fill="9FD3A4"/>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一般显色指数R</w:t>
            </w:r>
            <w:r>
              <w:rPr>
                <w:rFonts w:hint="default" w:ascii="Times New Roman" w:hAnsi="Times New Roman" w:cs="Times New Roman"/>
                <w:bCs/>
                <w:i/>
                <w:color w:val="auto"/>
                <w:sz w:val="21"/>
                <w:szCs w:val="21"/>
                <w:highlight w:val="none"/>
                <w:vertAlign w:val="subscript"/>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1526" w:type="dxa"/>
            <w:vMerge w:val="continue"/>
            <w:tcBorders>
              <w:top w:val="single" w:color="auto" w:sz="4" w:space="0"/>
              <w:left w:val="single" w:color="auto" w:sz="4" w:space="0"/>
              <w:bottom w:val="single" w:color="auto" w:sz="4" w:space="0"/>
              <w:right w:val="single" w:color="auto" w:sz="4" w:space="0"/>
            </w:tcBorders>
            <w:shd w:val="clear" w:color="auto" w:fill="9FD3A4"/>
            <w:vAlign w:val="center"/>
          </w:tcPr>
          <w:p>
            <w:pPr>
              <w:pStyle w:val="21"/>
              <w:spacing w:line="288" w:lineRule="auto"/>
              <w:jc w:val="center"/>
              <w:outlineLvl w:val="9"/>
              <w:rPr>
                <w:rFonts w:hint="default" w:ascii="Times New Roman" w:hAnsi="Times New Roman" w:cs="Times New Roman"/>
                <w:bCs/>
                <w:color w:val="auto"/>
                <w:sz w:val="21"/>
                <w:szCs w:val="21"/>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9FD3A4"/>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设计值</w:t>
            </w:r>
          </w:p>
        </w:tc>
        <w:tc>
          <w:tcPr>
            <w:tcW w:w="851" w:type="dxa"/>
            <w:tcBorders>
              <w:top w:val="single" w:color="auto" w:sz="4" w:space="0"/>
              <w:left w:val="single" w:color="auto" w:sz="4" w:space="0"/>
              <w:bottom w:val="single" w:color="auto" w:sz="4" w:space="0"/>
              <w:right w:val="single" w:color="auto" w:sz="4" w:space="0"/>
            </w:tcBorders>
            <w:shd w:val="clear" w:color="auto" w:fill="9FD3A4"/>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标准值</w:t>
            </w:r>
          </w:p>
        </w:tc>
        <w:tc>
          <w:tcPr>
            <w:tcW w:w="808" w:type="dxa"/>
            <w:tcBorders>
              <w:top w:val="single" w:color="auto" w:sz="4" w:space="0"/>
              <w:left w:val="single" w:color="auto" w:sz="4" w:space="0"/>
              <w:bottom w:val="single" w:color="auto" w:sz="4" w:space="0"/>
              <w:right w:val="single" w:color="auto" w:sz="4" w:space="0"/>
            </w:tcBorders>
            <w:shd w:val="clear" w:color="auto" w:fill="9FD3A4"/>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设计值</w:t>
            </w:r>
          </w:p>
        </w:tc>
        <w:tc>
          <w:tcPr>
            <w:tcW w:w="874" w:type="dxa"/>
            <w:tcBorders>
              <w:top w:val="single" w:color="auto" w:sz="4" w:space="0"/>
              <w:left w:val="single" w:color="auto" w:sz="4" w:space="0"/>
              <w:bottom w:val="single" w:color="auto" w:sz="4" w:space="0"/>
              <w:right w:val="single" w:color="auto" w:sz="4" w:space="0"/>
            </w:tcBorders>
            <w:shd w:val="clear" w:color="auto" w:fill="9FD3A4"/>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标准值</w:t>
            </w:r>
          </w:p>
        </w:tc>
        <w:tc>
          <w:tcPr>
            <w:tcW w:w="929" w:type="dxa"/>
            <w:tcBorders>
              <w:top w:val="single" w:color="auto" w:sz="4" w:space="0"/>
              <w:left w:val="single" w:color="auto" w:sz="4" w:space="0"/>
              <w:bottom w:val="single" w:color="auto" w:sz="4" w:space="0"/>
              <w:right w:val="single" w:color="auto" w:sz="4" w:space="0"/>
            </w:tcBorders>
            <w:shd w:val="clear" w:color="auto" w:fill="9FD3A4"/>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设计值</w:t>
            </w:r>
          </w:p>
        </w:tc>
        <w:tc>
          <w:tcPr>
            <w:tcW w:w="869" w:type="dxa"/>
            <w:tcBorders>
              <w:top w:val="single" w:color="auto" w:sz="4" w:space="0"/>
              <w:left w:val="single" w:color="auto" w:sz="4" w:space="0"/>
              <w:bottom w:val="single" w:color="auto" w:sz="4" w:space="0"/>
              <w:right w:val="single" w:color="auto" w:sz="4" w:space="0"/>
            </w:tcBorders>
            <w:shd w:val="clear" w:color="auto" w:fill="9FD3A4"/>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标准值</w:t>
            </w:r>
          </w:p>
        </w:tc>
        <w:tc>
          <w:tcPr>
            <w:tcW w:w="929" w:type="dxa"/>
            <w:tcBorders>
              <w:top w:val="single" w:color="auto" w:sz="4" w:space="0"/>
              <w:left w:val="single" w:color="auto" w:sz="4" w:space="0"/>
              <w:bottom w:val="single" w:color="auto" w:sz="4" w:space="0"/>
              <w:right w:val="single" w:color="auto" w:sz="4" w:space="0"/>
            </w:tcBorders>
            <w:shd w:val="clear" w:color="auto" w:fill="9FD3A4"/>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设计值</w:t>
            </w:r>
          </w:p>
        </w:tc>
        <w:tc>
          <w:tcPr>
            <w:tcW w:w="869" w:type="dxa"/>
            <w:tcBorders>
              <w:top w:val="single" w:color="auto" w:sz="4" w:space="0"/>
              <w:left w:val="single" w:color="auto" w:sz="4" w:space="0"/>
              <w:bottom w:val="single" w:color="auto" w:sz="4" w:space="0"/>
              <w:right w:val="single" w:color="auto" w:sz="4" w:space="0"/>
            </w:tcBorders>
            <w:shd w:val="clear" w:color="auto" w:fill="9FD3A4"/>
            <w:vAlign w:val="center"/>
          </w:tcPr>
          <w:p>
            <w:pPr>
              <w:pStyle w:val="21"/>
              <w:spacing w:line="288" w:lineRule="auto"/>
              <w:jc w:val="center"/>
              <w:outlineLvl w:val="9"/>
              <w:rPr>
                <w:rFonts w:hint="default"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2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办公室</w:t>
            </w:r>
          </w:p>
        </w:tc>
        <w:tc>
          <w:tcPr>
            <w:tcW w:w="85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300</w:t>
            </w:r>
          </w:p>
        </w:tc>
        <w:tc>
          <w:tcPr>
            <w:tcW w:w="85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300</w:t>
            </w:r>
          </w:p>
        </w:tc>
        <w:tc>
          <w:tcPr>
            <w:tcW w:w="80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19</w:t>
            </w:r>
          </w:p>
        </w:tc>
        <w:tc>
          <w:tcPr>
            <w:tcW w:w="8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19</w:t>
            </w:r>
          </w:p>
        </w:tc>
        <w:tc>
          <w:tcPr>
            <w:tcW w:w="92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0.6</w:t>
            </w:r>
          </w:p>
        </w:tc>
        <w:tc>
          <w:tcPr>
            <w:tcW w:w="86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0.6</w:t>
            </w:r>
          </w:p>
        </w:tc>
        <w:tc>
          <w:tcPr>
            <w:tcW w:w="92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80</w:t>
            </w:r>
          </w:p>
        </w:tc>
        <w:tc>
          <w:tcPr>
            <w:tcW w:w="86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2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教室</w:t>
            </w:r>
          </w:p>
        </w:tc>
        <w:tc>
          <w:tcPr>
            <w:tcW w:w="85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300</w:t>
            </w:r>
          </w:p>
        </w:tc>
        <w:tc>
          <w:tcPr>
            <w:tcW w:w="85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300</w:t>
            </w:r>
          </w:p>
        </w:tc>
        <w:tc>
          <w:tcPr>
            <w:tcW w:w="80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19</w:t>
            </w:r>
          </w:p>
        </w:tc>
        <w:tc>
          <w:tcPr>
            <w:tcW w:w="8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19</w:t>
            </w:r>
          </w:p>
        </w:tc>
        <w:tc>
          <w:tcPr>
            <w:tcW w:w="92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0.6</w:t>
            </w:r>
          </w:p>
        </w:tc>
        <w:tc>
          <w:tcPr>
            <w:tcW w:w="86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0.6</w:t>
            </w:r>
          </w:p>
        </w:tc>
        <w:tc>
          <w:tcPr>
            <w:tcW w:w="92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80</w:t>
            </w:r>
          </w:p>
        </w:tc>
        <w:tc>
          <w:tcPr>
            <w:tcW w:w="86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2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活动室</w:t>
            </w:r>
          </w:p>
        </w:tc>
        <w:tc>
          <w:tcPr>
            <w:tcW w:w="85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300</w:t>
            </w:r>
          </w:p>
        </w:tc>
        <w:tc>
          <w:tcPr>
            <w:tcW w:w="85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300</w:t>
            </w:r>
          </w:p>
        </w:tc>
        <w:tc>
          <w:tcPr>
            <w:tcW w:w="80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19</w:t>
            </w:r>
          </w:p>
        </w:tc>
        <w:tc>
          <w:tcPr>
            <w:tcW w:w="8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19</w:t>
            </w:r>
          </w:p>
        </w:tc>
        <w:tc>
          <w:tcPr>
            <w:tcW w:w="92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0.6</w:t>
            </w:r>
          </w:p>
        </w:tc>
        <w:tc>
          <w:tcPr>
            <w:tcW w:w="86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0.6</w:t>
            </w:r>
          </w:p>
        </w:tc>
        <w:tc>
          <w:tcPr>
            <w:tcW w:w="92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80</w:t>
            </w:r>
          </w:p>
        </w:tc>
        <w:tc>
          <w:tcPr>
            <w:tcW w:w="86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26" w:type="dxa"/>
            <w:tcBorders>
              <w:top w:val="single" w:color="auto" w:sz="4" w:space="0"/>
              <w:left w:val="single" w:color="auto" w:sz="4" w:space="0"/>
              <w:bottom w:val="single" w:color="auto" w:sz="4" w:space="0"/>
              <w:right w:val="single" w:color="auto" w:sz="4" w:space="0"/>
            </w:tcBorders>
            <w:vAlign w:val="top"/>
          </w:tcPr>
          <w:p>
            <w:pPr>
              <w:pStyle w:val="21"/>
              <w:spacing w:line="288" w:lineRule="auto"/>
              <w:jc w:val="center"/>
              <w:outlineLvl w:val="9"/>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bCs/>
                <w:color w:val="auto"/>
                <w:sz w:val="21"/>
                <w:szCs w:val="21"/>
                <w:highlight w:val="none"/>
              </w:rPr>
              <w:t>/</w:t>
            </w:r>
          </w:p>
        </w:tc>
        <w:tc>
          <w:tcPr>
            <w:tcW w:w="850" w:type="dxa"/>
            <w:tcBorders>
              <w:top w:val="single" w:color="auto" w:sz="4" w:space="0"/>
              <w:left w:val="single" w:color="auto" w:sz="4" w:space="0"/>
              <w:bottom w:val="single" w:color="auto" w:sz="4" w:space="0"/>
              <w:right w:val="single" w:color="auto" w:sz="4" w:space="0"/>
            </w:tcBorders>
            <w:vAlign w:val="top"/>
          </w:tcPr>
          <w:p>
            <w:pPr>
              <w:pStyle w:val="21"/>
              <w:spacing w:line="288" w:lineRule="auto"/>
              <w:jc w:val="center"/>
              <w:outlineLvl w:val="9"/>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bCs/>
                <w:color w:val="auto"/>
                <w:sz w:val="21"/>
                <w:szCs w:val="21"/>
                <w:highlight w:val="none"/>
              </w:rPr>
              <w:t>/</w:t>
            </w:r>
          </w:p>
        </w:tc>
        <w:tc>
          <w:tcPr>
            <w:tcW w:w="851" w:type="dxa"/>
            <w:tcBorders>
              <w:top w:val="single" w:color="auto" w:sz="4" w:space="0"/>
              <w:left w:val="single" w:color="auto" w:sz="4" w:space="0"/>
              <w:bottom w:val="single" w:color="auto" w:sz="4" w:space="0"/>
              <w:right w:val="single" w:color="auto" w:sz="4" w:space="0"/>
            </w:tcBorders>
            <w:vAlign w:val="top"/>
          </w:tcPr>
          <w:p>
            <w:pPr>
              <w:pStyle w:val="21"/>
              <w:spacing w:line="288" w:lineRule="auto"/>
              <w:jc w:val="center"/>
              <w:outlineLvl w:val="9"/>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bCs/>
                <w:color w:val="auto"/>
                <w:sz w:val="21"/>
                <w:szCs w:val="21"/>
                <w:highlight w:val="none"/>
              </w:rPr>
              <w:t>/</w:t>
            </w:r>
          </w:p>
        </w:tc>
        <w:tc>
          <w:tcPr>
            <w:tcW w:w="808" w:type="dxa"/>
            <w:tcBorders>
              <w:top w:val="single" w:color="auto" w:sz="4" w:space="0"/>
              <w:left w:val="single" w:color="auto" w:sz="4" w:space="0"/>
              <w:bottom w:val="single" w:color="auto" w:sz="4" w:space="0"/>
              <w:right w:val="single" w:color="auto" w:sz="4" w:space="0"/>
            </w:tcBorders>
            <w:vAlign w:val="top"/>
          </w:tcPr>
          <w:p>
            <w:pPr>
              <w:pStyle w:val="21"/>
              <w:spacing w:line="288" w:lineRule="auto"/>
              <w:jc w:val="center"/>
              <w:outlineLvl w:val="9"/>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bCs/>
                <w:color w:val="auto"/>
                <w:sz w:val="21"/>
                <w:szCs w:val="21"/>
                <w:highlight w:val="none"/>
              </w:rPr>
              <w:t>/</w:t>
            </w:r>
          </w:p>
        </w:tc>
        <w:tc>
          <w:tcPr>
            <w:tcW w:w="874" w:type="dxa"/>
            <w:tcBorders>
              <w:top w:val="single" w:color="auto" w:sz="4" w:space="0"/>
              <w:left w:val="single" w:color="auto" w:sz="4" w:space="0"/>
              <w:bottom w:val="single" w:color="auto" w:sz="4" w:space="0"/>
              <w:right w:val="single" w:color="auto" w:sz="4" w:space="0"/>
            </w:tcBorders>
            <w:vAlign w:val="top"/>
          </w:tcPr>
          <w:p>
            <w:pPr>
              <w:pStyle w:val="21"/>
              <w:spacing w:line="288" w:lineRule="auto"/>
              <w:jc w:val="center"/>
              <w:outlineLvl w:val="9"/>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bCs/>
                <w:color w:val="auto"/>
                <w:sz w:val="21"/>
                <w:szCs w:val="21"/>
                <w:highlight w:val="none"/>
              </w:rPr>
              <w:t>/</w:t>
            </w:r>
          </w:p>
        </w:tc>
        <w:tc>
          <w:tcPr>
            <w:tcW w:w="929" w:type="dxa"/>
            <w:tcBorders>
              <w:top w:val="single" w:color="auto" w:sz="4" w:space="0"/>
              <w:left w:val="single" w:color="auto" w:sz="4" w:space="0"/>
              <w:bottom w:val="single" w:color="auto" w:sz="4" w:space="0"/>
              <w:right w:val="single" w:color="auto" w:sz="4" w:space="0"/>
            </w:tcBorders>
            <w:vAlign w:val="top"/>
          </w:tcPr>
          <w:p>
            <w:pPr>
              <w:pStyle w:val="21"/>
              <w:spacing w:line="288" w:lineRule="auto"/>
              <w:jc w:val="center"/>
              <w:outlineLvl w:val="9"/>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bCs/>
                <w:color w:val="auto"/>
                <w:sz w:val="21"/>
                <w:szCs w:val="21"/>
                <w:highlight w:val="none"/>
              </w:rPr>
              <w:t>/</w:t>
            </w:r>
          </w:p>
        </w:tc>
        <w:tc>
          <w:tcPr>
            <w:tcW w:w="869" w:type="dxa"/>
            <w:tcBorders>
              <w:top w:val="single" w:color="auto" w:sz="4" w:space="0"/>
              <w:left w:val="single" w:color="auto" w:sz="4" w:space="0"/>
              <w:bottom w:val="single" w:color="auto" w:sz="4" w:space="0"/>
              <w:right w:val="single" w:color="auto" w:sz="4" w:space="0"/>
            </w:tcBorders>
            <w:vAlign w:val="top"/>
          </w:tcPr>
          <w:p>
            <w:pPr>
              <w:pStyle w:val="21"/>
              <w:spacing w:line="288" w:lineRule="auto"/>
              <w:jc w:val="center"/>
              <w:outlineLvl w:val="9"/>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bCs/>
                <w:color w:val="auto"/>
                <w:sz w:val="21"/>
                <w:szCs w:val="21"/>
                <w:highlight w:val="none"/>
              </w:rPr>
              <w:t>/</w:t>
            </w:r>
          </w:p>
        </w:tc>
        <w:tc>
          <w:tcPr>
            <w:tcW w:w="929" w:type="dxa"/>
            <w:tcBorders>
              <w:top w:val="single" w:color="auto" w:sz="4" w:space="0"/>
              <w:left w:val="single" w:color="auto" w:sz="4" w:space="0"/>
              <w:bottom w:val="single" w:color="auto" w:sz="4" w:space="0"/>
              <w:right w:val="single" w:color="auto" w:sz="4" w:space="0"/>
            </w:tcBorders>
            <w:vAlign w:val="top"/>
          </w:tcPr>
          <w:p>
            <w:pPr>
              <w:pStyle w:val="21"/>
              <w:spacing w:line="288" w:lineRule="auto"/>
              <w:jc w:val="center"/>
              <w:outlineLvl w:val="9"/>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bCs/>
                <w:color w:val="auto"/>
                <w:sz w:val="21"/>
                <w:szCs w:val="21"/>
                <w:highlight w:val="none"/>
              </w:rPr>
              <w:t>/</w:t>
            </w:r>
          </w:p>
        </w:tc>
        <w:tc>
          <w:tcPr>
            <w:tcW w:w="869" w:type="dxa"/>
            <w:tcBorders>
              <w:top w:val="single" w:color="auto" w:sz="4" w:space="0"/>
              <w:left w:val="single" w:color="auto" w:sz="4" w:space="0"/>
              <w:bottom w:val="single" w:color="auto" w:sz="4" w:space="0"/>
              <w:right w:val="single" w:color="auto" w:sz="4" w:space="0"/>
            </w:tcBorders>
            <w:vAlign w:val="top"/>
          </w:tcPr>
          <w:p>
            <w:pPr>
              <w:pStyle w:val="21"/>
              <w:spacing w:line="288" w:lineRule="auto"/>
              <w:jc w:val="center"/>
              <w:outlineLvl w:val="9"/>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bCs/>
                <w:color w:val="auto"/>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26"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c>
          <w:tcPr>
            <w:tcW w:w="850"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c>
          <w:tcPr>
            <w:tcW w:w="851"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c>
          <w:tcPr>
            <w:tcW w:w="808"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c>
          <w:tcPr>
            <w:tcW w:w="874"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c>
          <w:tcPr>
            <w:tcW w:w="929"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c>
          <w:tcPr>
            <w:tcW w:w="869"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c>
          <w:tcPr>
            <w:tcW w:w="929"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c>
          <w:tcPr>
            <w:tcW w:w="869"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26"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c>
          <w:tcPr>
            <w:tcW w:w="850"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c>
          <w:tcPr>
            <w:tcW w:w="851"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c>
          <w:tcPr>
            <w:tcW w:w="808"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c>
          <w:tcPr>
            <w:tcW w:w="874"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c>
          <w:tcPr>
            <w:tcW w:w="929"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c>
          <w:tcPr>
            <w:tcW w:w="869"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c>
          <w:tcPr>
            <w:tcW w:w="929"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c>
          <w:tcPr>
            <w:tcW w:w="869" w:type="dxa"/>
            <w:tcBorders>
              <w:top w:val="single" w:color="auto" w:sz="4" w:space="0"/>
              <w:left w:val="single" w:color="auto" w:sz="4" w:space="0"/>
              <w:bottom w:val="single" w:color="auto" w:sz="4" w:space="0"/>
              <w:right w:val="single" w:color="auto" w:sz="4" w:space="0"/>
            </w:tcBorders>
          </w:tcPr>
          <w:p>
            <w:pPr>
              <w:pStyle w:val="21"/>
              <w:spacing w:line="288" w:lineRule="auto"/>
              <w:jc w:val="center"/>
              <w:outlineLvl w:val="9"/>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 w:val="21"/>
                <w:szCs w:val="21"/>
                <w:highlight w:val="none"/>
              </w:rPr>
              <w:t>/</w:t>
            </w:r>
          </w:p>
        </w:tc>
      </w:tr>
    </w:tbl>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人员长期停留的场所采用符合现行国家标准《灯和灯系统的光生物安全性》GB/T20145规定的无危险类照明产品：■是□否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光源、镇流器的能效等级不低于相应能效标准规定的2级或节能评价值；灯具效率或效能满足现行国家标准《建筑照明设计标准》GB50034、</w:t>
      </w:r>
      <w:r>
        <w:rPr>
          <w:rFonts w:hint="default" w:ascii="Times New Roman" w:hAnsi="Times New Roman" w:cs="Times New Roman"/>
          <w:color w:val="auto"/>
          <w:sz w:val="24"/>
          <w:szCs w:val="24"/>
          <w:highlight w:val="none"/>
        </w:rPr>
        <w:t>《建筑节能与可再生能源利用通用规范》GB55015-2021</w:t>
      </w:r>
      <w:r>
        <w:rPr>
          <w:rFonts w:hint="default" w:ascii="Times New Roman" w:hAnsi="Times New Roman" w:cs="Times New Roman"/>
          <w:color w:val="auto"/>
          <w:sz w:val="24"/>
          <w:szCs w:val="24"/>
          <w:highlight w:val="none"/>
        </w:rPr>
        <w:t>的相关要求：</w:t>
      </w:r>
      <w:r>
        <w:rPr>
          <w:rFonts w:hint="default" w:ascii="Times New Roman" w:hAnsi="Times New Roman" w:cs="Times New Roman"/>
          <w:color w:val="auto"/>
          <w:kern w:val="0"/>
          <w:szCs w:val="21"/>
          <w:highlight w:val="none"/>
        </w:rPr>
        <w:t>■</w:t>
      </w:r>
      <w:r>
        <w:rPr>
          <w:rFonts w:hint="default" w:ascii="Times New Roman" w:hAnsi="Times New Roman" w:cs="Times New Roman"/>
          <w:color w:val="auto"/>
          <w:sz w:val="24"/>
          <w:szCs w:val="24"/>
          <w:highlight w:val="none"/>
        </w:rPr>
        <w:t>是□否</w:t>
      </w:r>
    </w:p>
    <w:p>
      <w:pPr>
        <w:spacing w:line="360" w:lineRule="auto"/>
        <w:ind w:firstLine="480" w:firstLineChars="200"/>
        <w:rPr>
          <w:rFonts w:hint="default" w:ascii="Times New Roman" w:hAnsi="Times New Roman" w:cs="Times New Roman"/>
          <w:color w:val="auto"/>
          <w:sz w:val="24"/>
          <w:szCs w:val="24"/>
          <w:highlight w:val="none"/>
        </w:rPr>
      </w:pP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6"/>
        <w:gridCol w:w="1903"/>
        <w:gridCol w:w="1711"/>
        <w:gridCol w:w="1839"/>
        <w:gridCol w:w="1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8505" w:type="dxa"/>
            <w:gridSpan w:val="5"/>
            <w:shd w:val="clear" w:color="auto" w:fill="9FD3A4"/>
            <w:vAlign w:val="center"/>
          </w:tcPr>
          <w:p>
            <w:pPr>
              <w:pStyle w:val="21"/>
              <w:spacing w:line="288" w:lineRule="auto"/>
              <w:outlineLvl w:val="9"/>
              <w:rPr>
                <w:rFonts w:hint="default" w:ascii="Times New Roman" w:hAnsi="Times New Roman" w:cs="Times New Roman"/>
                <w:b/>
                <w:color w:val="auto"/>
                <w:sz w:val="21"/>
                <w:szCs w:val="21"/>
                <w:highlight w:val="none"/>
                <w:lang w:val="zh-CN"/>
              </w:rPr>
            </w:pPr>
            <w:r>
              <w:rPr>
                <w:rFonts w:hint="default" w:ascii="Times New Roman" w:hAnsi="Times New Roman" w:cs="Times New Roman"/>
                <w:b/>
                <w:color w:val="auto"/>
                <w:sz w:val="21"/>
                <w:szCs w:val="21"/>
                <w:highlight w:val="none"/>
                <w:lang w:val="zh-CN"/>
              </w:rPr>
              <w:t>照明功率密度值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3529" w:type="dxa"/>
            <w:gridSpan w:val="2"/>
            <w:vMerge w:val="restart"/>
            <w:shd w:val="clear" w:color="auto" w:fill="9FD3A4"/>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主要功能房间</w:t>
            </w:r>
          </w:p>
        </w:tc>
        <w:tc>
          <w:tcPr>
            <w:tcW w:w="4976" w:type="dxa"/>
            <w:gridSpan w:val="3"/>
            <w:shd w:val="clear" w:color="auto" w:fill="9FD3A4"/>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照明功率密度（W/m</w:t>
            </w:r>
            <w:r>
              <w:rPr>
                <w:rFonts w:hint="default" w:ascii="Times New Roman" w:hAnsi="Times New Roman" w:cs="Times New Roman"/>
                <w:color w:val="auto"/>
                <w:kern w:val="0"/>
                <w:szCs w:val="21"/>
                <w:highlight w:val="none"/>
                <w:vertAlign w:val="superscript"/>
              </w:rPr>
              <w:t>2</w:t>
            </w: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3529" w:type="dxa"/>
            <w:gridSpan w:val="2"/>
            <w:vMerge w:val="continue"/>
            <w:shd w:val="clear" w:color="auto" w:fill="9FD3A4"/>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711" w:type="dxa"/>
            <w:shd w:val="clear" w:color="auto" w:fill="9FD3A4"/>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实际值</w:t>
            </w:r>
          </w:p>
        </w:tc>
        <w:tc>
          <w:tcPr>
            <w:tcW w:w="1839" w:type="dxa"/>
            <w:shd w:val="clear" w:color="auto" w:fill="9FD3A4"/>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现行值</w:t>
            </w:r>
          </w:p>
        </w:tc>
        <w:tc>
          <w:tcPr>
            <w:tcW w:w="1426" w:type="dxa"/>
            <w:shd w:val="clear" w:color="auto" w:fill="9FD3A4"/>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目标值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626" w:type="dxa"/>
            <w:vMerge w:val="restart"/>
            <w:vAlign w:val="center"/>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房间类型</w:t>
            </w:r>
          </w:p>
        </w:tc>
        <w:tc>
          <w:tcPr>
            <w:tcW w:w="1903"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办公室</w:t>
            </w:r>
          </w:p>
        </w:tc>
        <w:tc>
          <w:tcPr>
            <w:tcW w:w="1711"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8.00</w:t>
            </w:r>
          </w:p>
        </w:tc>
        <w:tc>
          <w:tcPr>
            <w:tcW w:w="1839"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9.00</w:t>
            </w:r>
          </w:p>
        </w:tc>
        <w:tc>
          <w:tcPr>
            <w:tcW w:w="1426"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626"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903"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教室</w:t>
            </w:r>
          </w:p>
        </w:tc>
        <w:tc>
          <w:tcPr>
            <w:tcW w:w="1711"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8.00</w:t>
            </w:r>
          </w:p>
        </w:tc>
        <w:tc>
          <w:tcPr>
            <w:tcW w:w="1839"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9.00</w:t>
            </w:r>
          </w:p>
        </w:tc>
        <w:tc>
          <w:tcPr>
            <w:tcW w:w="1426"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626"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903"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活动室</w:t>
            </w:r>
          </w:p>
        </w:tc>
        <w:tc>
          <w:tcPr>
            <w:tcW w:w="1711"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8.00</w:t>
            </w:r>
          </w:p>
        </w:tc>
        <w:tc>
          <w:tcPr>
            <w:tcW w:w="1839"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9.00</w:t>
            </w:r>
          </w:p>
        </w:tc>
        <w:tc>
          <w:tcPr>
            <w:tcW w:w="1426"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626"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903" w:type="dxa"/>
            <w:vAlign w:val="top"/>
          </w:tcPr>
          <w:p>
            <w:pPr>
              <w:widowControl/>
              <w:spacing w:line="288"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bCs/>
                <w:color w:val="auto"/>
                <w:szCs w:val="21"/>
                <w:highlight w:val="none"/>
              </w:rPr>
              <w:t>/</w:t>
            </w:r>
          </w:p>
        </w:tc>
        <w:tc>
          <w:tcPr>
            <w:tcW w:w="1711" w:type="dxa"/>
            <w:vAlign w:val="top"/>
          </w:tcPr>
          <w:p>
            <w:pPr>
              <w:widowControl/>
              <w:spacing w:line="288"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bCs/>
                <w:color w:val="auto"/>
                <w:szCs w:val="21"/>
                <w:highlight w:val="none"/>
              </w:rPr>
              <w:t>/</w:t>
            </w:r>
          </w:p>
        </w:tc>
        <w:tc>
          <w:tcPr>
            <w:tcW w:w="1839" w:type="dxa"/>
            <w:vAlign w:val="top"/>
          </w:tcPr>
          <w:p>
            <w:pPr>
              <w:widowControl/>
              <w:spacing w:line="288"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bCs/>
                <w:color w:val="auto"/>
                <w:szCs w:val="21"/>
                <w:highlight w:val="none"/>
              </w:rPr>
              <w:t>/</w:t>
            </w:r>
          </w:p>
        </w:tc>
        <w:tc>
          <w:tcPr>
            <w:tcW w:w="1426" w:type="dxa"/>
            <w:vAlign w:val="top"/>
          </w:tcPr>
          <w:p>
            <w:pPr>
              <w:widowControl/>
              <w:spacing w:line="288"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bCs/>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626"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903" w:type="dxa"/>
          </w:tcPr>
          <w:p>
            <w:pPr>
              <w:widowControl/>
              <w:spacing w:line="288" w:lineRule="auto"/>
              <w:jc w:val="center"/>
              <w:rPr>
                <w:rFonts w:hint="default" w:ascii="Times New Roman" w:hAnsi="Times New Roman" w:cs="Times New Roman"/>
                <w:color w:val="auto"/>
                <w:sz w:val="20"/>
                <w:szCs w:val="20"/>
                <w:highlight w:val="none"/>
              </w:rPr>
            </w:pPr>
            <w:r>
              <w:rPr>
                <w:rFonts w:hint="default" w:ascii="Times New Roman" w:hAnsi="Times New Roman" w:cs="Times New Roman"/>
                <w:bCs/>
                <w:color w:val="auto"/>
                <w:szCs w:val="21"/>
                <w:highlight w:val="none"/>
              </w:rPr>
              <w:t>/</w:t>
            </w:r>
          </w:p>
        </w:tc>
        <w:tc>
          <w:tcPr>
            <w:tcW w:w="1711" w:type="dxa"/>
          </w:tcPr>
          <w:p>
            <w:pPr>
              <w:widowControl/>
              <w:spacing w:line="288" w:lineRule="auto"/>
              <w:jc w:val="center"/>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Cs w:val="21"/>
                <w:highlight w:val="none"/>
              </w:rPr>
              <w:t>/</w:t>
            </w:r>
          </w:p>
        </w:tc>
        <w:tc>
          <w:tcPr>
            <w:tcW w:w="1839" w:type="dxa"/>
          </w:tcPr>
          <w:p>
            <w:pPr>
              <w:widowControl/>
              <w:spacing w:line="288" w:lineRule="auto"/>
              <w:jc w:val="center"/>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Cs w:val="21"/>
                <w:highlight w:val="none"/>
              </w:rPr>
              <w:t>/</w:t>
            </w:r>
          </w:p>
        </w:tc>
        <w:tc>
          <w:tcPr>
            <w:tcW w:w="1426" w:type="dxa"/>
          </w:tcPr>
          <w:p>
            <w:pPr>
              <w:widowControl/>
              <w:spacing w:line="288" w:lineRule="auto"/>
              <w:jc w:val="center"/>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626"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903" w:type="dxa"/>
          </w:tcPr>
          <w:p>
            <w:pPr>
              <w:widowControl/>
              <w:spacing w:line="288" w:lineRule="auto"/>
              <w:jc w:val="center"/>
              <w:rPr>
                <w:rFonts w:hint="default" w:ascii="Times New Roman" w:hAnsi="Times New Roman" w:cs="Times New Roman"/>
                <w:color w:val="auto"/>
                <w:sz w:val="20"/>
                <w:szCs w:val="20"/>
                <w:highlight w:val="none"/>
              </w:rPr>
            </w:pPr>
            <w:r>
              <w:rPr>
                <w:rFonts w:hint="default" w:ascii="Times New Roman" w:hAnsi="Times New Roman" w:cs="Times New Roman"/>
                <w:bCs/>
                <w:color w:val="auto"/>
                <w:szCs w:val="21"/>
                <w:highlight w:val="none"/>
              </w:rPr>
              <w:t>/</w:t>
            </w:r>
          </w:p>
        </w:tc>
        <w:tc>
          <w:tcPr>
            <w:tcW w:w="1711" w:type="dxa"/>
          </w:tcPr>
          <w:p>
            <w:pPr>
              <w:widowControl/>
              <w:spacing w:line="288" w:lineRule="auto"/>
              <w:jc w:val="center"/>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Cs w:val="21"/>
                <w:highlight w:val="none"/>
              </w:rPr>
              <w:t>/</w:t>
            </w:r>
          </w:p>
        </w:tc>
        <w:tc>
          <w:tcPr>
            <w:tcW w:w="1839" w:type="dxa"/>
          </w:tcPr>
          <w:p>
            <w:pPr>
              <w:widowControl/>
              <w:spacing w:line="288" w:lineRule="auto"/>
              <w:jc w:val="center"/>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Cs w:val="21"/>
                <w:highlight w:val="none"/>
              </w:rPr>
              <w:t>/</w:t>
            </w:r>
          </w:p>
        </w:tc>
        <w:tc>
          <w:tcPr>
            <w:tcW w:w="1426" w:type="dxa"/>
          </w:tcPr>
          <w:p>
            <w:pPr>
              <w:widowControl/>
              <w:spacing w:line="288" w:lineRule="auto"/>
              <w:jc w:val="center"/>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626"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903" w:type="dxa"/>
          </w:tcPr>
          <w:p>
            <w:pPr>
              <w:widowControl/>
              <w:spacing w:line="288" w:lineRule="auto"/>
              <w:jc w:val="center"/>
              <w:rPr>
                <w:rFonts w:hint="default" w:ascii="Times New Roman" w:hAnsi="Times New Roman" w:cs="Times New Roman"/>
                <w:color w:val="auto"/>
                <w:sz w:val="22"/>
                <w:highlight w:val="none"/>
              </w:rPr>
            </w:pPr>
            <w:r>
              <w:rPr>
                <w:rFonts w:hint="default" w:ascii="Times New Roman" w:hAnsi="Times New Roman" w:cs="Times New Roman"/>
                <w:bCs/>
                <w:color w:val="auto"/>
                <w:szCs w:val="21"/>
                <w:highlight w:val="none"/>
              </w:rPr>
              <w:t>/</w:t>
            </w:r>
          </w:p>
        </w:tc>
        <w:tc>
          <w:tcPr>
            <w:tcW w:w="1711" w:type="dxa"/>
          </w:tcPr>
          <w:p>
            <w:pPr>
              <w:widowControl/>
              <w:spacing w:line="288" w:lineRule="auto"/>
              <w:jc w:val="center"/>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Cs w:val="21"/>
                <w:highlight w:val="none"/>
              </w:rPr>
              <w:t>/</w:t>
            </w:r>
          </w:p>
        </w:tc>
        <w:tc>
          <w:tcPr>
            <w:tcW w:w="1839" w:type="dxa"/>
          </w:tcPr>
          <w:p>
            <w:pPr>
              <w:widowControl/>
              <w:spacing w:line="288" w:lineRule="auto"/>
              <w:jc w:val="center"/>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Cs w:val="21"/>
                <w:highlight w:val="none"/>
              </w:rPr>
              <w:t>/</w:t>
            </w:r>
          </w:p>
        </w:tc>
        <w:tc>
          <w:tcPr>
            <w:tcW w:w="1426" w:type="dxa"/>
          </w:tcPr>
          <w:p>
            <w:pPr>
              <w:widowControl/>
              <w:spacing w:line="288" w:lineRule="auto"/>
              <w:jc w:val="center"/>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626"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903" w:type="dxa"/>
          </w:tcPr>
          <w:p>
            <w:pPr>
              <w:widowControl/>
              <w:spacing w:line="288" w:lineRule="auto"/>
              <w:jc w:val="center"/>
              <w:rPr>
                <w:rFonts w:hint="default" w:ascii="Times New Roman" w:hAnsi="Times New Roman" w:cs="Times New Roman"/>
                <w:color w:val="auto"/>
                <w:sz w:val="22"/>
                <w:highlight w:val="none"/>
              </w:rPr>
            </w:pPr>
            <w:r>
              <w:rPr>
                <w:rFonts w:hint="default" w:ascii="Times New Roman" w:hAnsi="Times New Roman" w:cs="Times New Roman"/>
                <w:bCs/>
                <w:color w:val="auto"/>
                <w:szCs w:val="21"/>
                <w:highlight w:val="none"/>
              </w:rPr>
              <w:t>/</w:t>
            </w:r>
          </w:p>
        </w:tc>
        <w:tc>
          <w:tcPr>
            <w:tcW w:w="1711" w:type="dxa"/>
          </w:tcPr>
          <w:p>
            <w:pPr>
              <w:widowControl/>
              <w:spacing w:line="288" w:lineRule="auto"/>
              <w:jc w:val="center"/>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Cs w:val="21"/>
                <w:highlight w:val="none"/>
              </w:rPr>
              <w:t>/</w:t>
            </w:r>
          </w:p>
        </w:tc>
        <w:tc>
          <w:tcPr>
            <w:tcW w:w="1839" w:type="dxa"/>
          </w:tcPr>
          <w:p>
            <w:pPr>
              <w:widowControl/>
              <w:spacing w:line="288" w:lineRule="auto"/>
              <w:jc w:val="center"/>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Cs w:val="21"/>
                <w:highlight w:val="none"/>
              </w:rPr>
              <w:t>/</w:t>
            </w:r>
          </w:p>
        </w:tc>
        <w:tc>
          <w:tcPr>
            <w:tcW w:w="1426" w:type="dxa"/>
          </w:tcPr>
          <w:p>
            <w:pPr>
              <w:widowControl/>
              <w:spacing w:line="288" w:lineRule="auto"/>
              <w:jc w:val="center"/>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626"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903" w:type="dxa"/>
          </w:tcPr>
          <w:p>
            <w:pPr>
              <w:widowControl/>
              <w:spacing w:line="288" w:lineRule="auto"/>
              <w:jc w:val="center"/>
              <w:rPr>
                <w:rFonts w:hint="default" w:ascii="Times New Roman" w:hAnsi="Times New Roman" w:cs="Times New Roman"/>
                <w:color w:val="auto"/>
                <w:sz w:val="22"/>
                <w:highlight w:val="none"/>
              </w:rPr>
            </w:pPr>
            <w:r>
              <w:rPr>
                <w:rFonts w:hint="default" w:ascii="Times New Roman" w:hAnsi="Times New Roman" w:cs="Times New Roman"/>
                <w:bCs/>
                <w:color w:val="auto"/>
                <w:szCs w:val="21"/>
                <w:highlight w:val="none"/>
              </w:rPr>
              <w:t>/</w:t>
            </w:r>
          </w:p>
        </w:tc>
        <w:tc>
          <w:tcPr>
            <w:tcW w:w="1711" w:type="dxa"/>
          </w:tcPr>
          <w:p>
            <w:pPr>
              <w:widowControl/>
              <w:spacing w:line="288" w:lineRule="auto"/>
              <w:jc w:val="center"/>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Cs w:val="21"/>
                <w:highlight w:val="none"/>
              </w:rPr>
              <w:t>/</w:t>
            </w:r>
          </w:p>
        </w:tc>
        <w:tc>
          <w:tcPr>
            <w:tcW w:w="1839" w:type="dxa"/>
          </w:tcPr>
          <w:p>
            <w:pPr>
              <w:widowControl/>
              <w:spacing w:line="288" w:lineRule="auto"/>
              <w:jc w:val="center"/>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Cs w:val="21"/>
                <w:highlight w:val="none"/>
              </w:rPr>
              <w:t>/</w:t>
            </w:r>
          </w:p>
        </w:tc>
        <w:tc>
          <w:tcPr>
            <w:tcW w:w="1426" w:type="dxa"/>
          </w:tcPr>
          <w:p>
            <w:pPr>
              <w:widowControl/>
              <w:spacing w:line="288" w:lineRule="auto"/>
              <w:jc w:val="center"/>
              <w:rPr>
                <w:rFonts w:hint="default" w:ascii="Times New Roman" w:hAnsi="Times New Roman" w:cs="Times New Roman" w:eastAsiaTheme="minorEastAsia"/>
                <w:color w:val="auto"/>
                <w:sz w:val="20"/>
                <w:szCs w:val="20"/>
                <w:highlight w:val="none"/>
              </w:rPr>
            </w:pPr>
            <w:r>
              <w:rPr>
                <w:rFonts w:hint="default" w:ascii="Times New Roman" w:hAnsi="Times New Roman" w:cs="Times New Roman"/>
                <w:bCs/>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626"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903" w:type="dxa"/>
          </w:tcPr>
          <w:p>
            <w:pPr>
              <w:widowControl/>
              <w:spacing w:line="288" w:lineRule="auto"/>
              <w:jc w:val="center"/>
              <w:rPr>
                <w:rFonts w:hint="default" w:ascii="Times New Roman" w:hAnsi="Times New Roman" w:cs="Times New Roman"/>
                <w:color w:val="auto"/>
                <w:sz w:val="22"/>
                <w:highlight w:val="none"/>
              </w:rPr>
            </w:pPr>
            <w:r>
              <w:rPr>
                <w:rFonts w:hint="default" w:ascii="Times New Roman" w:hAnsi="Times New Roman" w:cs="Times New Roman"/>
                <w:bCs/>
                <w:color w:val="auto"/>
                <w:szCs w:val="21"/>
                <w:highlight w:val="none"/>
              </w:rPr>
              <w:t>/</w:t>
            </w:r>
          </w:p>
        </w:tc>
        <w:tc>
          <w:tcPr>
            <w:tcW w:w="1711"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bCs/>
                <w:color w:val="auto"/>
                <w:szCs w:val="21"/>
                <w:highlight w:val="none"/>
              </w:rPr>
              <w:t>/</w:t>
            </w:r>
          </w:p>
        </w:tc>
        <w:tc>
          <w:tcPr>
            <w:tcW w:w="183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bCs/>
                <w:color w:val="auto"/>
                <w:szCs w:val="21"/>
                <w:highlight w:val="none"/>
              </w:rPr>
              <w:t>/</w:t>
            </w:r>
          </w:p>
        </w:tc>
        <w:tc>
          <w:tcPr>
            <w:tcW w:w="1426"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bCs/>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1626" w:type="dxa"/>
            <w:vMerge w:val="continue"/>
            <w:vAlign w:val="center"/>
          </w:tcPr>
          <w:p>
            <w:pPr>
              <w:widowControl/>
              <w:spacing w:line="288" w:lineRule="auto"/>
              <w:jc w:val="center"/>
              <w:rPr>
                <w:rFonts w:hint="default" w:ascii="Times New Roman" w:hAnsi="Times New Roman" w:cs="Times New Roman"/>
                <w:color w:val="auto"/>
                <w:kern w:val="0"/>
                <w:szCs w:val="21"/>
                <w:highlight w:val="none"/>
              </w:rPr>
            </w:pPr>
          </w:p>
        </w:tc>
        <w:tc>
          <w:tcPr>
            <w:tcW w:w="1903" w:type="dxa"/>
          </w:tcPr>
          <w:p>
            <w:pPr>
              <w:widowControl/>
              <w:spacing w:line="288" w:lineRule="auto"/>
              <w:jc w:val="center"/>
              <w:rPr>
                <w:rFonts w:hint="default" w:ascii="Times New Roman" w:hAnsi="Times New Roman" w:cs="Times New Roman"/>
                <w:color w:val="auto"/>
                <w:sz w:val="22"/>
                <w:highlight w:val="none"/>
              </w:rPr>
            </w:pPr>
            <w:r>
              <w:rPr>
                <w:rFonts w:hint="default" w:ascii="Times New Roman" w:hAnsi="Times New Roman" w:cs="Times New Roman"/>
                <w:bCs/>
                <w:color w:val="auto"/>
                <w:szCs w:val="21"/>
                <w:highlight w:val="none"/>
              </w:rPr>
              <w:t>/</w:t>
            </w:r>
          </w:p>
        </w:tc>
        <w:tc>
          <w:tcPr>
            <w:tcW w:w="1711"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bCs/>
                <w:color w:val="auto"/>
                <w:szCs w:val="21"/>
                <w:highlight w:val="none"/>
              </w:rPr>
              <w:t>/</w:t>
            </w:r>
          </w:p>
        </w:tc>
        <w:tc>
          <w:tcPr>
            <w:tcW w:w="1839"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bCs/>
                <w:color w:val="auto"/>
                <w:szCs w:val="21"/>
                <w:highlight w:val="none"/>
              </w:rPr>
              <w:t>/</w:t>
            </w:r>
          </w:p>
        </w:tc>
        <w:tc>
          <w:tcPr>
            <w:tcW w:w="1426" w:type="dxa"/>
          </w:tcPr>
          <w:p>
            <w:pPr>
              <w:widowControl/>
              <w:spacing w:line="288"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bCs/>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jc w:val="center"/>
        </w:trPr>
        <w:tc>
          <w:tcPr>
            <w:tcW w:w="8505" w:type="dxa"/>
            <w:gridSpan w:val="5"/>
            <w:vAlign w:val="center"/>
          </w:tcPr>
          <w:p>
            <w:pPr>
              <w:widowControl/>
              <w:spacing w:line="288" w:lineRule="auto"/>
              <w:rPr>
                <w:rFonts w:hint="default" w:ascii="Times New Roman" w:hAnsi="Times New Roman" w:cs="Times New Roman"/>
                <w:color w:val="auto"/>
                <w:kern w:val="0"/>
                <w:szCs w:val="21"/>
                <w:highlight w:val="none"/>
              </w:rPr>
            </w:pPr>
            <w:r>
              <w:rPr>
                <w:rFonts w:hint="default" w:ascii="Times New Roman" w:hAnsi="Times New Roman" w:cs="Times New Roman"/>
                <w:bCs/>
                <w:color w:val="auto"/>
                <w:kern w:val="0"/>
                <w:szCs w:val="21"/>
                <w:highlight w:val="none"/>
                <w:lang w:val="zh-CN"/>
              </w:rPr>
              <w:t>注：</w:t>
            </w:r>
            <w:r>
              <w:rPr>
                <w:rFonts w:hint="default" w:ascii="Times New Roman" w:hAnsi="Times New Roman" w:cs="Times New Roman"/>
                <w:color w:val="auto"/>
                <w:kern w:val="0"/>
                <w:szCs w:val="21"/>
                <w:highlight w:val="none"/>
              </w:rPr>
              <w:t>1）主要功能场所的照明功率密度限值应满足现行国家标准《建筑照明设计标准》 GB50034、</w:t>
            </w:r>
            <w:r>
              <w:rPr>
                <w:rFonts w:hint="default" w:ascii="Times New Roman" w:hAnsi="Times New Roman" w:cs="Times New Roman"/>
                <w:color w:val="auto"/>
                <w:kern w:val="0"/>
                <w:szCs w:val="21"/>
                <w:highlight w:val="none"/>
              </w:rPr>
              <w:t>《建筑节能与可再生能源利用通用规范》GB55015-2021</w:t>
            </w:r>
            <w:r>
              <w:rPr>
                <w:rFonts w:hint="default" w:ascii="Times New Roman" w:hAnsi="Times New Roman" w:cs="Times New Roman"/>
                <w:color w:val="auto"/>
                <w:kern w:val="0"/>
                <w:szCs w:val="21"/>
                <w:highlight w:val="none"/>
              </w:rPr>
              <w:t>中目标值的要求。</w:t>
            </w:r>
          </w:p>
          <w:p>
            <w:pPr>
              <w:widowControl/>
              <w:spacing w:line="288" w:lineRule="auto"/>
              <w:ind w:firstLine="218" w:firstLineChars="104"/>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2）三星级要求，</w:t>
            </w:r>
            <w:r>
              <w:rPr>
                <w:rFonts w:hint="default" w:ascii="Times New Roman" w:hAnsi="Times New Roman" w:cs="Times New Roman"/>
                <w:color w:val="auto"/>
                <w:szCs w:val="21"/>
                <w:highlight w:val="none"/>
              </w:rPr>
              <w:t>室内所有区域的照明功率密度值应满足现行国家标准《建筑照明设计标准》GB50034中目标值的要求。</w:t>
            </w:r>
          </w:p>
        </w:tc>
      </w:tr>
    </w:tbl>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公共区域的照明系统采用分区、定时、感应等节能控制：■是□否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自然采光区域的照明控制独立于其他区域的照明控制：■是□否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二星级项目，在具有自然采光的区域,结合自然光采用合理的人工照明布置及控制措施；当自然光达到照度要求时，尽量避免开启人工照明：■是□否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采光区域的人工照明随天然光照度变化自动调节：□是■否</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3"/>
        <w:numPr>
          <w:ilvl w:val="0"/>
          <w:numId w:val="21"/>
        </w:numPr>
        <w:spacing w:after="156"/>
        <w:rPr>
          <w:rFonts w:hint="default" w:ascii="Times New Roman" w:hAnsi="Times New Roman" w:cs="Times New Roman"/>
          <w:color w:val="auto"/>
          <w:highlight w:val="none"/>
        </w:rPr>
      </w:pPr>
      <w:bookmarkStart w:id="139" w:name="_Toc124520273"/>
      <w:r>
        <w:rPr>
          <w:rFonts w:hint="default" w:ascii="Times New Roman" w:hAnsi="Times New Roman" w:cs="Times New Roman"/>
          <w:color w:val="auto"/>
          <w:highlight w:val="none"/>
        </w:rPr>
        <w:t>动力系统</w:t>
      </w:r>
      <w:bookmarkEnd w:id="139"/>
    </w:p>
    <w:p>
      <w:pPr>
        <w:spacing w:line="360" w:lineRule="auto"/>
        <w:ind w:firstLine="480" w:firstLineChars="200"/>
        <w:rPr>
          <w:rFonts w:hint="default" w:ascii="Times New Roman" w:hAnsi="Times New Roman" w:cs="Times New Roman"/>
          <w:color w:val="auto"/>
          <w:sz w:val="24"/>
          <w:szCs w:val="24"/>
          <w:highlight w:val="none"/>
        </w:rPr>
      </w:pPr>
      <w:bookmarkStart w:id="140" w:name="_Hlk113486079"/>
      <w:r>
        <w:rPr>
          <w:rFonts w:hint="default" w:ascii="Times New Roman" w:hAnsi="Times New Roman" w:cs="Times New Roman"/>
          <w:color w:val="auto"/>
          <w:sz w:val="24"/>
          <w:szCs w:val="24"/>
          <w:highlight w:val="none"/>
        </w:rPr>
        <w:t>垂直电梯采取群控、变频调速或能量反馈等节能措施：</w:t>
      </w:r>
      <w:bookmarkEnd w:id="140"/>
      <w:r>
        <w:rPr>
          <w:rFonts w:hint="default" w:ascii="Times New Roman" w:hAnsi="Times New Roman" w:cs="Times New Roman"/>
          <w:color w:val="auto"/>
          <w:sz w:val="24"/>
          <w:szCs w:val="24"/>
          <w:highlight w:val="none"/>
        </w:rPr>
        <w:t>■是□否</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自动扶梯采用变频感应启动等节能控制措施：□是■否</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4819"/>
        <w:gridCol w:w="15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电梯、自动扶梯节能措施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shd w:val="clear" w:color="auto" w:fill="9FD3A4"/>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设备类型</w:t>
            </w:r>
          </w:p>
        </w:tc>
        <w:tc>
          <w:tcPr>
            <w:tcW w:w="4819" w:type="dxa"/>
            <w:shd w:val="clear" w:color="auto" w:fill="9FD3A4"/>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节能措施</w:t>
            </w:r>
          </w:p>
        </w:tc>
        <w:tc>
          <w:tcPr>
            <w:tcW w:w="1564" w:type="dxa"/>
            <w:shd w:val="clear" w:color="auto" w:fill="9FD3A4"/>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选用情况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电梯</w:t>
            </w:r>
          </w:p>
        </w:tc>
        <w:tc>
          <w:tcPr>
            <w:tcW w:w="481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变频调速拖动方式</w:t>
            </w:r>
          </w:p>
        </w:tc>
        <w:tc>
          <w:tcPr>
            <w:tcW w:w="1564"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 w:val="24"/>
                <w:szCs w:val="24"/>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481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能量再生回馈技术</w:t>
            </w:r>
          </w:p>
        </w:tc>
        <w:tc>
          <w:tcPr>
            <w:tcW w:w="1564"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 w:val="24"/>
                <w:szCs w:val="24"/>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481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并联或群控</w:t>
            </w:r>
          </w:p>
        </w:tc>
        <w:tc>
          <w:tcPr>
            <w:tcW w:w="1564"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 w:val="24"/>
                <w:szCs w:val="24"/>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481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轿厢无人自动关灯技术</w:t>
            </w:r>
          </w:p>
        </w:tc>
        <w:tc>
          <w:tcPr>
            <w:tcW w:w="1564"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 w:val="24"/>
                <w:szCs w:val="24"/>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481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群控楼宇智能管理技术</w:t>
            </w:r>
          </w:p>
        </w:tc>
        <w:tc>
          <w:tcPr>
            <w:tcW w:w="1564"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 w:val="24"/>
                <w:szCs w:val="24"/>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481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564" w:type="dxa"/>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自动扶梯、自动人行道</w:t>
            </w:r>
          </w:p>
        </w:tc>
        <w:tc>
          <w:tcPr>
            <w:tcW w:w="481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变频感应启停</w:t>
            </w:r>
          </w:p>
        </w:tc>
        <w:tc>
          <w:tcPr>
            <w:tcW w:w="1564"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 w:val="24"/>
                <w:szCs w:val="24"/>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continue"/>
          </w:tcPr>
          <w:p>
            <w:pPr>
              <w:spacing w:line="360" w:lineRule="auto"/>
              <w:jc w:val="center"/>
              <w:rPr>
                <w:rFonts w:hint="default" w:ascii="Times New Roman" w:hAnsi="Times New Roman" w:cs="Times New Roman"/>
                <w:color w:val="auto"/>
                <w:kern w:val="0"/>
                <w:szCs w:val="21"/>
                <w:highlight w:val="none"/>
              </w:rPr>
            </w:pPr>
          </w:p>
        </w:tc>
        <w:tc>
          <w:tcPr>
            <w:tcW w:w="481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节能拖动</w:t>
            </w:r>
          </w:p>
        </w:tc>
        <w:tc>
          <w:tcPr>
            <w:tcW w:w="1564"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 w:val="24"/>
                <w:szCs w:val="24"/>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continue"/>
          </w:tcPr>
          <w:p>
            <w:pPr>
              <w:spacing w:line="360" w:lineRule="auto"/>
              <w:jc w:val="center"/>
              <w:rPr>
                <w:rFonts w:hint="default" w:ascii="Times New Roman" w:hAnsi="Times New Roman" w:cs="Times New Roman"/>
                <w:color w:val="auto"/>
                <w:kern w:val="0"/>
                <w:szCs w:val="21"/>
                <w:highlight w:val="none"/>
              </w:rPr>
            </w:pPr>
          </w:p>
        </w:tc>
        <w:tc>
          <w:tcPr>
            <w:tcW w:w="4819"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564"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 w:val="24"/>
                <w:szCs w:val="24"/>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3"/>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注：电梯、自动扶梯、自动人行道应选用配备高效电机及先进控制技术的产品，应具有节能拖动、节能运行功能。当两台及以上电梯成组设置时，应具有群控功能。</w:t>
            </w:r>
          </w:p>
        </w:tc>
      </w:tr>
    </w:tbl>
    <w:p>
      <w:pPr>
        <w:spacing w:line="360" w:lineRule="auto"/>
        <w:ind w:firstLine="480" w:firstLineChars="200"/>
        <w:rPr>
          <w:rFonts w:hint="default" w:ascii="Times New Roman" w:hAnsi="Times New Roman" w:cs="Times New Roman"/>
          <w:color w:val="auto"/>
          <w:sz w:val="24"/>
          <w:szCs w:val="24"/>
          <w:highlight w:val="none"/>
        </w:rPr>
      </w:pP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水泵、风机等设备满足国家现行有关标准的节能评价值的要求：■是□否</w:t>
      </w:r>
    </w:p>
    <w:tbl>
      <w:tblPr>
        <w:tblStyle w:val="14"/>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28"/>
        <w:gridCol w:w="1276"/>
        <w:gridCol w:w="1033"/>
        <w:gridCol w:w="1436"/>
        <w:gridCol w:w="2364"/>
        <w:gridCol w:w="150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343" w:type="dxa"/>
            <w:gridSpan w:val="6"/>
            <w:tcBorders>
              <w:top w:val="single" w:color="auto" w:sz="4" w:space="0"/>
              <w:left w:val="single" w:color="auto" w:sz="8" w:space="0"/>
              <w:bottom w:val="single" w:color="auto" w:sz="4" w:space="0"/>
              <w:right w:val="single" w:color="auto" w:sz="8" w:space="0"/>
            </w:tcBorders>
            <w:shd w:val="clear" w:color="auto" w:fill="9FD3A4"/>
            <w:vAlign w:val="center"/>
          </w:tcPr>
          <w:p>
            <w:pPr>
              <w:pStyle w:val="21"/>
              <w:spacing w:line="288" w:lineRule="auto"/>
              <w:outlineLvl w:val="9"/>
              <w:rPr>
                <w:rFonts w:hint="default" w:ascii="Times New Roman" w:hAnsi="Times New Roman" w:cs="Times New Roman"/>
                <w:b/>
                <w:color w:val="auto"/>
                <w:sz w:val="21"/>
                <w:szCs w:val="21"/>
                <w:highlight w:val="none"/>
                <w:lang w:val="zh-CN"/>
              </w:rPr>
            </w:pPr>
            <w:r>
              <w:rPr>
                <w:rFonts w:hint="default" w:ascii="Times New Roman" w:hAnsi="Times New Roman" w:cs="Times New Roman"/>
                <w:b/>
                <w:color w:val="auto"/>
                <w:sz w:val="21"/>
                <w:szCs w:val="21"/>
                <w:highlight w:val="none"/>
                <w:lang w:val="zh-CN"/>
              </w:rPr>
              <w:t>水泵、风机及其他电气装置的节能评价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04" w:type="dxa"/>
            <w:gridSpan w:val="2"/>
            <w:vMerge w:val="restart"/>
            <w:tcBorders>
              <w:top w:val="single" w:color="auto" w:sz="4" w:space="0"/>
              <w:left w:val="single" w:color="auto" w:sz="4" w:space="0"/>
              <w:bottom w:val="single" w:color="auto" w:sz="4" w:space="0"/>
              <w:right w:val="single" w:color="auto" w:sz="4" w:space="0"/>
            </w:tcBorders>
            <w:shd w:val="clear" w:color="auto" w:fill="9ED3A3"/>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设备类型</w:t>
            </w:r>
          </w:p>
        </w:tc>
        <w:tc>
          <w:tcPr>
            <w:tcW w:w="2469" w:type="dxa"/>
            <w:gridSpan w:val="2"/>
            <w:tcBorders>
              <w:top w:val="single" w:color="auto" w:sz="4" w:space="0"/>
              <w:left w:val="single" w:color="auto" w:sz="4" w:space="0"/>
              <w:bottom w:val="single" w:color="auto" w:sz="4" w:space="0"/>
              <w:right w:val="single" w:color="auto" w:sz="4" w:space="0"/>
            </w:tcBorders>
            <w:shd w:val="clear" w:color="auto" w:fill="9ED3A3"/>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效率</w:t>
            </w:r>
          </w:p>
        </w:tc>
        <w:tc>
          <w:tcPr>
            <w:tcW w:w="2364" w:type="dxa"/>
            <w:vMerge w:val="restart"/>
            <w:tcBorders>
              <w:top w:val="single" w:color="auto" w:sz="4" w:space="0"/>
              <w:left w:val="single" w:color="auto" w:sz="4" w:space="0"/>
              <w:bottom w:val="single" w:color="auto" w:sz="4" w:space="0"/>
              <w:right w:val="single" w:color="auto" w:sz="4" w:space="0"/>
            </w:tcBorders>
            <w:shd w:val="clear" w:color="auto" w:fill="9ED3A3"/>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依据的标准名称和编号</w:t>
            </w:r>
          </w:p>
        </w:tc>
        <w:tc>
          <w:tcPr>
            <w:tcW w:w="1506" w:type="dxa"/>
            <w:vMerge w:val="restart"/>
            <w:tcBorders>
              <w:top w:val="single" w:color="auto" w:sz="4" w:space="0"/>
              <w:left w:val="single" w:color="auto" w:sz="4" w:space="0"/>
              <w:bottom w:val="single" w:color="auto" w:sz="4" w:space="0"/>
              <w:right w:val="single" w:color="auto" w:sz="4" w:space="0"/>
            </w:tcBorders>
            <w:shd w:val="clear" w:color="auto" w:fill="9ED3A3"/>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是否满足要求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04"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88" w:lineRule="auto"/>
              <w:jc w:val="left"/>
              <w:rPr>
                <w:rFonts w:hint="default" w:ascii="Times New Roman" w:hAnsi="Times New Roman" w:cs="Times New Roman"/>
                <w:bCs/>
                <w:color w:val="auto"/>
                <w:kern w:val="0"/>
                <w:szCs w:val="21"/>
                <w:highlight w:val="none"/>
                <w:lang w:val="zh-CN"/>
              </w:rPr>
            </w:pPr>
          </w:p>
        </w:tc>
        <w:tc>
          <w:tcPr>
            <w:tcW w:w="1033" w:type="dxa"/>
            <w:tcBorders>
              <w:top w:val="single" w:color="auto" w:sz="4" w:space="0"/>
              <w:left w:val="single" w:color="auto" w:sz="4" w:space="0"/>
              <w:bottom w:val="single" w:color="auto" w:sz="4" w:space="0"/>
              <w:right w:val="single" w:color="auto" w:sz="4" w:space="0"/>
            </w:tcBorders>
            <w:shd w:val="clear" w:color="auto" w:fill="9ED3A3"/>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设计值</w:t>
            </w:r>
          </w:p>
        </w:tc>
        <w:tc>
          <w:tcPr>
            <w:tcW w:w="1436" w:type="dxa"/>
            <w:tcBorders>
              <w:top w:val="single" w:color="auto" w:sz="4" w:space="0"/>
              <w:left w:val="single" w:color="auto" w:sz="4" w:space="0"/>
              <w:bottom w:val="single" w:color="auto" w:sz="4" w:space="0"/>
              <w:right w:val="single" w:color="auto" w:sz="4" w:space="0"/>
            </w:tcBorders>
            <w:shd w:val="clear" w:color="auto" w:fill="9ED3A3"/>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节能评价值</w:t>
            </w:r>
          </w:p>
        </w:tc>
        <w:tc>
          <w:tcPr>
            <w:tcW w:w="236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88" w:lineRule="auto"/>
              <w:jc w:val="left"/>
              <w:rPr>
                <w:rFonts w:hint="default" w:ascii="Times New Roman" w:hAnsi="Times New Roman" w:cs="Times New Roman"/>
                <w:bCs/>
                <w:color w:val="auto"/>
                <w:kern w:val="0"/>
                <w:szCs w:val="21"/>
                <w:highlight w:val="none"/>
                <w:lang w:val="zh-CN"/>
              </w:rPr>
            </w:pPr>
          </w:p>
        </w:tc>
        <w:tc>
          <w:tcPr>
            <w:tcW w:w="1506"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88" w:lineRule="auto"/>
              <w:jc w:val="left"/>
              <w:rPr>
                <w:rFonts w:hint="default" w:ascii="Times New Roman" w:hAnsi="Times New Roman" w:cs="Times New Roman"/>
                <w:bCs/>
                <w:color w:val="auto"/>
                <w:kern w:val="0"/>
                <w:szCs w:val="21"/>
                <w:highlight w:val="none"/>
                <w:lang w:val="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28" w:type="dxa"/>
            <w:vMerge w:val="restart"/>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水泵</w:t>
            </w:r>
          </w:p>
        </w:tc>
        <w:tc>
          <w:tcPr>
            <w:tcW w:w="1276"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033"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436"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2364" w:type="dxa"/>
            <w:vMerge w:val="restart"/>
            <w:tcBorders>
              <w:top w:val="single" w:color="auto" w:sz="4" w:space="0"/>
              <w:left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506" w:type="dxa"/>
            <w:tcBorders>
              <w:top w:val="single" w:color="auto" w:sz="4" w:space="0"/>
              <w:left w:val="single" w:color="auto" w:sz="4" w:space="0"/>
              <w:bottom w:val="single" w:color="auto" w:sz="4" w:space="0"/>
              <w:right w:val="single" w:color="auto" w:sz="4" w:space="0"/>
            </w:tcBorders>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color w:val="auto"/>
                <w:sz w:val="24"/>
                <w:szCs w:val="24"/>
                <w:highlight w:val="none"/>
              </w:rPr>
              <w:t>□是□否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2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88" w:lineRule="auto"/>
              <w:jc w:val="left"/>
              <w:rPr>
                <w:rFonts w:hint="default" w:ascii="Times New Roman" w:hAnsi="Times New Roman" w:cs="Times New Roman"/>
                <w:bCs/>
                <w:color w:val="auto"/>
                <w:kern w:val="0"/>
                <w:szCs w:val="21"/>
                <w:highlight w:val="none"/>
                <w:lang w:val="zh-CN"/>
              </w:rPr>
            </w:pPr>
          </w:p>
        </w:tc>
        <w:tc>
          <w:tcPr>
            <w:tcW w:w="1276"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033"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436"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2364" w:type="dxa"/>
            <w:vMerge w:val="continue"/>
            <w:tcBorders>
              <w:left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p>
        </w:tc>
        <w:tc>
          <w:tcPr>
            <w:tcW w:w="1506" w:type="dxa"/>
            <w:tcBorders>
              <w:top w:val="single" w:color="auto" w:sz="4" w:space="0"/>
              <w:left w:val="single" w:color="auto" w:sz="4" w:space="0"/>
              <w:bottom w:val="single" w:color="auto" w:sz="4" w:space="0"/>
              <w:right w:val="single" w:color="auto" w:sz="4" w:space="0"/>
            </w:tcBorders>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color w:val="auto"/>
                <w:sz w:val="24"/>
                <w:szCs w:val="24"/>
                <w:highlight w:val="none"/>
              </w:rPr>
              <w:t>□是□否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2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88" w:lineRule="auto"/>
              <w:jc w:val="left"/>
              <w:rPr>
                <w:rFonts w:hint="default" w:ascii="Times New Roman" w:hAnsi="Times New Roman" w:cs="Times New Roman"/>
                <w:bCs/>
                <w:color w:val="auto"/>
                <w:kern w:val="0"/>
                <w:szCs w:val="21"/>
                <w:highlight w:val="none"/>
                <w:lang w:val="zh-CN"/>
              </w:rPr>
            </w:pPr>
          </w:p>
        </w:tc>
        <w:tc>
          <w:tcPr>
            <w:tcW w:w="1276"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033"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436"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2364" w:type="dxa"/>
            <w:vMerge w:val="continue"/>
            <w:tcBorders>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p>
        </w:tc>
        <w:tc>
          <w:tcPr>
            <w:tcW w:w="1506" w:type="dxa"/>
            <w:tcBorders>
              <w:top w:val="single" w:color="auto" w:sz="4" w:space="0"/>
              <w:left w:val="single" w:color="auto" w:sz="4" w:space="0"/>
              <w:bottom w:val="single" w:color="auto" w:sz="4" w:space="0"/>
              <w:right w:val="single" w:color="auto" w:sz="4" w:space="0"/>
            </w:tcBorders>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color w:val="auto"/>
                <w:sz w:val="24"/>
                <w:szCs w:val="24"/>
                <w:highlight w:val="none"/>
              </w:rPr>
              <w:t>□是□否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28" w:type="dxa"/>
            <w:vMerge w:val="restart"/>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风机</w:t>
            </w:r>
          </w:p>
        </w:tc>
        <w:tc>
          <w:tcPr>
            <w:tcW w:w="1276"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033"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436"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2364" w:type="dxa"/>
            <w:vMerge w:val="restart"/>
            <w:tcBorders>
              <w:top w:val="single" w:color="auto" w:sz="4" w:space="0"/>
              <w:left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506" w:type="dxa"/>
            <w:tcBorders>
              <w:top w:val="single" w:color="auto" w:sz="4" w:space="0"/>
              <w:left w:val="single" w:color="auto" w:sz="4" w:space="0"/>
              <w:bottom w:val="single" w:color="auto" w:sz="4" w:space="0"/>
              <w:right w:val="single" w:color="auto" w:sz="4" w:space="0"/>
            </w:tcBorders>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color w:val="auto"/>
                <w:sz w:val="24"/>
                <w:szCs w:val="24"/>
                <w:highlight w:val="none"/>
              </w:rPr>
              <w:t>□是□否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2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88" w:lineRule="auto"/>
              <w:jc w:val="left"/>
              <w:rPr>
                <w:rFonts w:hint="default" w:ascii="Times New Roman" w:hAnsi="Times New Roman" w:cs="Times New Roman"/>
                <w:bCs/>
                <w:color w:val="auto"/>
                <w:kern w:val="0"/>
                <w:szCs w:val="21"/>
                <w:highlight w:val="none"/>
                <w:lang w:val="zh-CN"/>
              </w:rPr>
            </w:pPr>
          </w:p>
        </w:tc>
        <w:tc>
          <w:tcPr>
            <w:tcW w:w="1276"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033"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436"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2364" w:type="dxa"/>
            <w:vMerge w:val="continue"/>
            <w:tcBorders>
              <w:left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p>
        </w:tc>
        <w:tc>
          <w:tcPr>
            <w:tcW w:w="1506" w:type="dxa"/>
            <w:tcBorders>
              <w:top w:val="single" w:color="auto" w:sz="4" w:space="0"/>
              <w:left w:val="single" w:color="auto" w:sz="4" w:space="0"/>
              <w:bottom w:val="single" w:color="auto" w:sz="4" w:space="0"/>
              <w:right w:val="single" w:color="auto" w:sz="4" w:space="0"/>
            </w:tcBorders>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color w:val="auto"/>
                <w:sz w:val="24"/>
                <w:szCs w:val="24"/>
                <w:highlight w:val="none"/>
              </w:rPr>
              <w:t>□是□否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2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88" w:lineRule="auto"/>
              <w:jc w:val="left"/>
              <w:rPr>
                <w:rFonts w:hint="default" w:ascii="Times New Roman" w:hAnsi="Times New Roman" w:cs="Times New Roman"/>
                <w:bCs/>
                <w:color w:val="auto"/>
                <w:kern w:val="0"/>
                <w:szCs w:val="21"/>
                <w:highlight w:val="none"/>
                <w:lang w:val="zh-CN"/>
              </w:rPr>
            </w:pPr>
          </w:p>
        </w:tc>
        <w:tc>
          <w:tcPr>
            <w:tcW w:w="1276"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033"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436"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2364" w:type="dxa"/>
            <w:vMerge w:val="continue"/>
            <w:tcBorders>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p>
        </w:tc>
        <w:tc>
          <w:tcPr>
            <w:tcW w:w="1506" w:type="dxa"/>
            <w:tcBorders>
              <w:top w:val="single" w:color="auto" w:sz="4" w:space="0"/>
              <w:left w:val="single" w:color="auto" w:sz="4" w:space="0"/>
              <w:bottom w:val="single" w:color="auto" w:sz="4" w:space="0"/>
              <w:right w:val="single" w:color="auto" w:sz="4" w:space="0"/>
            </w:tcBorders>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color w:val="auto"/>
                <w:sz w:val="24"/>
                <w:szCs w:val="24"/>
                <w:highlight w:val="none"/>
              </w:rPr>
              <w:t>□是□否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28"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其他</w:t>
            </w:r>
          </w:p>
        </w:tc>
        <w:tc>
          <w:tcPr>
            <w:tcW w:w="1276"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033"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436"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2364" w:type="dxa"/>
            <w:tcBorders>
              <w:top w:val="single" w:color="auto" w:sz="4" w:space="0"/>
              <w:left w:val="single" w:color="auto" w:sz="4" w:space="0"/>
              <w:bottom w:val="single" w:color="auto" w:sz="4" w:space="0"/>
              <w:right w:val="single" w:color="auto" w:sz="4" w:space="0"/>
            </w:tcBorders>
            <w:vAlign w:val="center"/>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bCs/>
                <w:color w:val="auto"/>
                <w:kern w:val="0"/>
                <w:szCs w:val="21"/>
                <w:highlight w:val="none"/>
                <w:lang w:val="zh-CN"/>
              </w:rPr>
              <w:t>/</w:t>
            </w:r>
          </w:p>
        </w:tc>
        <w:tc>
          <w:tcPr>
            <w:tcW w:w="1506" w:type="dxa"/>
            <w:tcBorders>
              <w:top w:val="single" w:color="auto" w:sz="4" w:space="0"/>
              <w:left w:val="single" w:color="auto" w:sz="4" w:space="0"/>
              <w:bottom w:val="single" w:color="auto" w:sz="4" w:space="0"/>
              <w:right w:val="single" w:color="auto" w:sz="4" w:space="0"/>
            </w:tcBorders>
          </w:tcPr>
          <w:p>
            <w:pPr>
              <w:spacing w:line="288" w:lineRule="auto"/>
              <w:jc w:val="center"/>
              <w:rPr>
                <w:rFonts w:hint="default" w:ascii="Times New Roman" w:hAnsi="Times New Roman" w:cs="Times New Roman"/>
                <w:bCs/>
                <w:color w:val="auto"/>
                <w:kern w:val="0"/>
                <w:szCs w:val="21"/>
                <w:highlight w:val="none"/>
                <w:lang w:val="zh-CN"/>
              </w:rPr>
            </w:pPr>
            <w:r>
              <w:rPr>
                <w:rFonts w:hint="default" w:ascii="Times New Roman" w:hAnsi="Times New Roman" w:cs="Times New Roman"/>
                <w:color w:val="auto"/>
                <w:sz w:val="24"/>
                <w:szCs w:val="24"/>
                <w:highlight w:val="none"/>
              </w:rPr>
              <w:t>□是□否</w:t>
            </w:r>
          </w:p>
        </w:tc>
      </w:tr>
    </w:tbl>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集中制备饮用热水的电开水炉具有根据温度、时间控制的功能：□是■否</w:t>
      </w:r>
    </w:p>
    <w:p>
      <w:pPr>
        <w:spacing w:line="360" w:lineRule="auto"/>
        <w:ind w:firstLine="480" w:firstLineChars="200"/>
        <w:rPr>
          <w:rFonts w:hint="default" w:ascii="Times New Roman" w:hAnsi="Times New Roman" w:cs="Times New Roman"/>
          <w:color w:val="auto"/>
          <w:sz w:val="24"/>
          <w:szCs w:val="24"/>
          <w:highlight w:val="none"/>
        </w:rPr>
      </w:pPr>
    </w:p>
    <w:p>
      <w:pPr>
        <w:pStyle w:val="3"/>
        <w:numPr>
          <w:ilvl w:val="0"/>
          <w:numId w:val="21"/>
        </w:numPr>
        <w:spacing w:after="156"/>
        <w:rPr>
          <w:rFonts w:hint="default" w:ascii="Times New Roman" w:hAnsi="Times New Roman" w:cs="Times New Roman"/>
          <w:color w:val="auto"/>
          <w:highlight w:val="none"/>
        </w:rPr>
      </w:pPr>
      <w:bookmarkStart w:id="141" w:name="_Toc124520274"/>
      <w:r>
        <w:rPr>
          <w:rFonts w:hint="default" w:ascii="Times New Roman" w:hAnsi="Times New Roman" w:cs="Times New Roman"/>
          <w:color w:val="auto"/>
          <w:highlight w:val="none"/>
        </w:rPr>
        <w:t>智能化</w:t>
      </w:r>
      <w:bookmarkEnd w:id="141"/>
    </w:p>
    <w:p>
      <w:pPr>
        <w:pStyle w:val="4"/>
        <w:numPr>
          <w:ilvl w:val="0"/>
          <w:numId w:val="22"/>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建筑设备管理</w:t>
      </w:r>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建筑面积大于20000m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的公共建筑且采用集中空调系统时，设置集中控制的建筑设备管理系统：</w:t>
      </w:r>
      <w:r>
        <w:rPr>
          <w:rFonts w:hint="default" w:ascii="Times New Roman" w:hAnsi="Times New Roman" w:cs="Times New Roman"/>
          <w:color w:val="auto"/>
          <w:szCs w:val="21"/>
          <w:highlight w:val="none"/>
        </w:rPr>
        <w:t>■</w:t>
      </w:r>
      <w:r>
        <w:rPr>
          <w:rFonts w:hint="default" w:ascii="Times New Roman" w:hAnsi="Times New Roman" w:cs="Times New Roman"/>
          <w:color w:val="auto"/>
          <w:sz w:val="24"/>
          <w:szCs w:val="24"/>
          <w:highlight w:val="none"/>
        </w:rPr>
        <w:t>是</w:t>
      </w:r>
      <w:r>
        <w:rPr>
          <w:rFonts w:hint="default" w:ascii="Times New Roman" w:hAnsi="Times New Roman" w:cs="Times New Roman"/>
          <w:color w:val="auto"/>
          <w:szCs w:val="21"/>
          <w:highlight w:val="none"/>
        </w:rPr>
        <w:t>□</w:t>
      </w:r>
      <w:r>
        <w:rPr>
          <w:rFonts w:hint="default" w:ascii="Times New Roman" w:hAnsi="Times New Roman" w:cs="Times New Roman"/>
          <w:color w:val="auto"/>
          <w:sz w:val="24"/>
          <w:szCs w:val="24"/>
          <w:highlight w:val="none"/>
        </w:rPr>
        <w:t>否</w:t>
      </w:r>
    </w:p>
    <w:tbl>
      <w:tblPr>
        <w:tblStyle w:val="1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599"/>
        <w:gridCol w:w="4438"/>
        <w:gridCol w:w="1311"/>
        <w:gridCol w:w="117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8522" w:type="dxa"/>
            <w:gridSpan w:val="4"/>
            <w:shd w:val="clear" w:color="auto" w:fill="9FD3A4"/>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建筑设备管理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037" w:type="dxa"/>
            <w:gridSpan w:val="2"/>
            <w:shd w:val="clear" w:color="auto" w:fill="9ED3A3"/>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采纳情况</w:t>
            </w:r>
          </w:p>
        </w:tc>
        <w:tc>
          <w:tcPr>
            <w:tcW w:w="1174" w:type="dxa"/>
            <w:shd w:val="clear" w:color="auto" w:fill="9ED3A3"/>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037" w:type="dxa"/>
            <w:gridSpan w:val="2"/>
            <w:vAlign w:val="center"/>
          </w:tcPr>
          <w:p>
            <w:pPr>
              <w:spacing w:line="360" w:lineRule="auto"/>
              <w:jc w:val="center"/>
              <w:rPr>
                <w:rFonts w:hint="default" w:ascii="Times New Roman" w:hAnsi="Times New Roman" w:cs="Times New Roman"/>
                <w:b/>
                <w:color w:val="auto"/>
                <w:szCs w:val="21"/>
                <w:highlight w:val="none"/>
              </w:rPr>
            </w:pPr>
            <w:r>
              <w:rPr>
                <w:rFonts w:hint="default" w:ascii="Times New Roman" w:hAnsi="Times New Roman" w:cs="Times New Roman"/>
                <w:color w:val="auto"/>
                <w:szCs w:val="21"/>
                <w:highlight w:val="none"/>
              </w:rPr>
              <w:t>建筑是否设置了建筑设备管理系统</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c>
          <w:tcPr>
            <w:tcW w:w="1174" w:type="dxa"/>
            <w:vMerge w:val="restart"/>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99" w:type="dxa"/>
            <w:vMerge w:val="restart"/>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建筑设备管理系统</w:t>
            </w:r>
          </w:p>
        </w:tc>
        <w:tc>
          <w:tcPr>
            <w:tcW w:w="4438"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对送风机、排风机等设备进行控制，并明确控制逻辑及运行条件</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c>
          <w:tcPr>
            <w:tcW w:w="1174" w:type="dxa"/>
            <w:vMerge w:val="continue"/>
            <w:vAlign w:val="center"/>
          </w:tcPr>
          <w:p>
            <w:pPr>
              <w:spacing w:line="360" w:lineRule="auto"/>
              <w:jc w:val="center"/>
              <w:rPr>
                <w:rFonts w:hint="default" w:ascii="Times New Roman" w:hAnsi="Times New Roman" w:cs="Times New Roman"/>
                <w:color w:val="auto"/>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99"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4438"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电开水炉等大功率用电设备有远程自动通、断电源的控制</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c>
          <w:tcPr>
            <w:tcW w:w="1174"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99"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4438"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大型、特大型汽车库电气照明控制能实现分路控制、自动控制等功能</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eastAsia="zh-CN"/>
              </w:rPr>
              <w:t>□</w:t>
            </w:r>
            <w:r>
              <w:rPr>
                <w:rFonts w:hint="default" w:ascii="Times New Roman" w:hAnsi="Times New Roman" w:cs="Times New Roman"/>
                <w:color w:val="auto"/>
                <w:szCs w:val="21"/>
                <w:highlight w:val="none"/>
              </w:rPr>
              <w:t>是■否</w:t>
            </w:r>
          </w:p>
        </w:tc>
        <w:tc>
          <w:tcPr>
            <w:tcW w:w="1174"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037" w:type="dxa"/>
            <w:gridSpan w:val="2"/>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建筑设备管理系统是否具有自动监控管理功能</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eastAsia="zh-CN"/>
              </w:rPr>
              <w:t>□</w:t>
            </w:r>
            <w:r>
              <w:rPr>
                <w:rFonts w:hint="default" w:ascii="Times New Roman" w:hAnsi="Times New Roman" w:cs="Times New Roman"/>
                <w:color w:val="auto"/>
                <w:szCs w:val="21"/>
                <w:highlight w:val="none"/>
              </w:rPr>
              <w:t>是■否</w:t>
            </w:r>
          </w:p>
        </w:tc>
        <w:tc>
          <w:tcPr>
            <w:tcW w:w="1174" w:type="dxa"/>
            <w:vMerge w:val="restart"/>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弱电设计说明</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99" w:type="dxa"/>
            <w:vMerge w:val="restart"/>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设备监控系统功能</w:t>
            </w:r>
          </w:p>
        </w:tc>
        <w:tc>
          <w:tcPr>
            <w:tcW w:w="4438"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监测功能</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eastAsia="zh-CN"/>
              </w:rPr>
              <w:t>□</w:t>
            </w:r>
            <w:r>
              <w:rPr>
                <w:rFonts w:hint="default" w:ascii="Times New Roman" w:hAnsi="Times New Roman" w:cs="Times New Roman"/>
                <w:color w:val="auto"/>
                <w:szCs w:val="21"/>
                <w:highlight w:val="none"/>
              </w:rPr>
              <w:t>是■否</w:t>
            </w:r>
          </w:p>
        </w:tc>
        <w:tc>
          <w:tcPr>
            <w:tcW w:w="1174" w:type="dxa"/>
            <w:vMerge w:val="continue"/>
            <w:vAlign w:val="center"/>
          </w:tcPr>
          <w:p>
            <w:pPr>
              <w:spacing w:line="360" w:lineRule="auto"/>
              <w:jc w:val="center"/>
              <w:rPr>
                <w:rFonts w:hint="default" w:ascii="Times New Roman" w:hAnsi="Times New Roman" w:cs="Times New Roman"/>
                <w:color w:val="auto"/>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99"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4438"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安全保护功能</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eastAsia="zh-CN"/>
              </w:rPr>
              <w:t>□</w:t>
            </w:r>
            <w:r>
              <w:rPr>
                <w:rFonts w:hint="default" w:ascii="Times New Roman" w:hAnsi="Times New Roman" w:cs="Times New Roman"/>
                <w:color w:val="auto"/>
                <w:szCs w:val="21"/>
                <w:highlight w:val="none"/>
              </w:rPr>
              <w:t>是■否</w:t>
            </w:r>
          </w:p>
        </w:tc>
        <w:tc>
          <w:tcPr>
            <w:tcW w:w="1174" w:type="dxa"/>
            <w:vMerge w:val="continue"/>
            <w:vAlign w:val="center"/>
          </w:tcPr>
          <w:p>
            <w:pPr>
              <w:spacing w:line="360" w:lineRule="auto"/>
              <w:jc w:val="center"/>
              <w:rPr>
                <w:rFonts w:hint="default" w:ascii="Times New Roman" w:hAnsi="Times New Roman" w:cs="Times New Roman"/>
                <w:color w:val="auto"/>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99"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4438"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远程控制功能</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eastAsia="zh-CN"/>
              </w:rPr>
              <w:t>□</w:t>
            </w:r>
            <w:r>
              <w:rPr>
                <w:rFonts w:hint="default" w:ascii="Times New Roman" w:hAnsi="Times New Roman" w:cs="Times New Roman"/>
                <w:color w:val="auto"/>
                <w:szCs w:val="21"/>
                <w:highlight w:val="none"/>
              </w:rPr>
              <w:t>是■否</w:t>
            </w:r>
          </w:p>
        </w:tc>
        <w:tc>
          <w:tcPr>
            <w:tcW w:w="1174" w:type="dxa"/>
            <w:vMerge w:val="continue"/>
            <w:vAlign w:val="center"/>
          </w:tcPr>
          <w:p>
            <w:pPr>
              <w:spacing w:line="360" w:lineRule="auto"/>
              <w:jc w:val="center"/>
              <w:rPr>
                <w:rFonts w:hint="default" w:ascii="Times New Roman" w:hAnsi="Times New Roman" w:cs="Times New Roman"/>
                <w:color w:val="auto"/>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99"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4438"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自动启停功能</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c>
          <w:tcPr>
            <w:tcW w:w="1174" w:type="dxa"/>
            <w:vMerge w:val="continue"/>
            <w:vAlign w:val="center"/>
          </w:tcPr>
          <w:p>
            <w:pPr>
              <w:spacing w:line="360" w:lineRule="auto"/>
              <w:jc w:val="center"/>
              <w:rPr>
                <w:rFonts w:hint="default" w:ascii="Times New Roman" w:hAnsi="Times New Roman" w:cs="Times New Roman"/>
                <w:color w:val="auto"/>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99"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4438"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自动调节功能</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c>
          <w:tcPr>
            <w:tcW w:w="1174" w:type="dxa"/>
            <w:vMerge w:val="continue"/>
            <w:vAlign w:val="center"/>
          </w:tcPr>
          <w:p>
            <w:pPr>
              <w:spacing w:line="360" w:lineRule="auto"/>
              <w:jc w:val="center"/>
              <w:rPr>
                <w:rFonts w:hint="default" w:ascii="Times New Roman" w:hAnsi="Times New Roman" w:cs="Times New Roman"/>
                <w:color w:val="auto"/>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037" w:type="dxa"/>
            <w:gridSpan w:val="2"/>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空调冷热源中心设置机组群控系统，能根据负荷变化、系统特性进行优化运行控制，并明确控制逻辑及联动条件</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c>
          <w:tcPr>
            <w:tcW w:w="1174"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037" w:type="dxa"/>
            <w:gridSpan w:val="2"/>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空气调节机组进行控制原理的设计，并明确控制逻辑及联动条件</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c>
          <w:tcPr>
            <w:tcW w:w="1174"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037" w:type="dxa"/>
            <w:gridSpan w:val="2"/>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末端采用水系统的风机盘管，采用联网型的温控面板做联网控制，并与相对应的新风机实现启、停联动</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c>
          <w:tcPr>
            <w:tcW w:w="1174"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037" w:type="dxa"/>
            <w:gridSpan w:val="2"/>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多联式空调系统应设置集中控制系统</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c>
          <w:tcPr>
            <w:tcW w:w="1174"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8522" w:type="dxa"/>
            <w:gridSpan w:val="4"/>
            <w:vAlign w:val="center"/>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注：建筑设备管理系统应具有自动监控管理功能</w:t>
            </w:r>
            <w:r>
              <w:rPr>
                <w:rFonts w:hint="default" w:ascii="Times New Roman" w:hAnsi="Times New Roman" w:cs="Times New Roman"/>
                <w:bCs/>
                <w:color w:val="auto"/>
                <w:szCs w:val="21"/>
                <w:highlight w:val="none"/>
                <w:lang w:val="zh-CN"/>
              </w:rPr>
              <w:t>。</w:t>
            </w:r>
          </w:p>
        </w:tc>
      </w:tr>
    </w:tbl>
    <w:p>
      <w:pPr>
        <w:spacing w:line="360" w:lineRule="auto"/>
        <w:ind w:left="420"/>
        <w:rPr>
          <w:rFonts w:hint="default" w:ascii="Times New Roman" w:hAnsi="Times New Roman" w:cs="Times New Roman"/>
          <w:color w:val="auto"/>
          <w:sz w:val="24"/>
          <w:highlight w:val="none"/>
        </w:rPr>
      </w:pPr>
    </w:p>
    <w:p>
      <w:pPr>
        <w:pStyle w:val="4"/>
        <w:numPr>
          <w:ilvl w:val="0"/>
          <w:numId w:val="22"/>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信息网络</w:t>
      </w:r>
    </w:p>
    <w:tbl>
      <w:tblPr>
        <w:tblStyle w:val="1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599"/>
        <w:gridCol w:w="4438"/>
        <w:gridCol w:w="1311"/>
        <w:gridCol w:w="117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8522" w:type="dxa"/>
            <w:gridSpan w:val="4"/>
            <w:shd w:val="clear" w:color="auto" w:fill="9FD3A4"/>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信息网络系统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037" w:type="dxa"/>
            <w:gridSpan w:val="2"/>
            <w:shd w:val="clear" w:color="auto" w:fill="9ED3A3"/>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采纳情况</w:t>
            </w:r>
          </w:p>
        </w:tc>
        <w:tc>
          <w:tcPr>
            <w:tcW w:w="1174" w:type="dxa"/>
            <w:shd w:val="clear" w:color="auto" w:fill="9ED3A3"/>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037" w:type="dxa"/>
            <w:gridSpan w:val="2"/>
            <w:vAlign w:val="center"/>
          </w:tcPr>
          <w:p>
            <w:pPr>
              <w:spacing w:line="360" w:lineRule="auto"/>
              <w:jc w:val="center"/>
              <w:rPr>
                <w:rFonts w:hint="default" w:ascii="Times New Roman" w:hAnsi="Times New Roman" w:cs="Times New Roman"/>
                <w:b/>
                <w:color w:val="auto"/>
                <w:szCs w:val="21"/>
                <w:highlight w:val="none"/>
              </w:rPr>
            </w:pPr>
            <w:r>
              <w:rPr>
                <w:rFonts w:hint="default" w:ascii="Times New Roman" w:hAnsi="Times New Roman" w:cs="Times New Roman"/>
                <w:color w:val="auto"/>
                <w:szCs w:val="21"/>
                <w:highlight w:val="none"/>
              </w:rPr>
              <w:t>建筑是否设置了信息网络系统</w:t>
            </w:r>
          </w:p>
        </w:tc>
        <w:tc>
          <w:tcPr>
            <w:tcW w:w="1311" w:type="dxa"/>
            <w:vAlign w:val="center"/>
          </w:tcPr>
          <w:p>
            <w:pPr>
              <w:spacing w:line="360" w:lineRule="auto"/>
              <w:jc w:val="center"/>
              <w:rPr>
                <w:rFonts w:hint="default" w:ascii="Times New Roman" w:hAnsi="Times New Roman" w:cs="Times New Roman"/>
                <w:b/>
                <w:color w:val="auto"/>
                <w:szCs w:val="21"/>
                <w:highlight w:val="none"/>
              </w:rPr>
            </w:pPr>
            <w:r>
              <w:rPr>
                <w:rFonts w:hint="default" w:ascii="Times New Roman" w:hAnsi="Times New Roman" w:cs="Times New Roman"/>
                <w:color w:val="auto"/>
                <w:kern w:val="0"/>
                <w:szCs w:val="21"/>
                <w:highlight w:val="none"/>
              </w:rPr>
              <w:t>□是■否</w:t>
            </w:r>
          </w:p>
        </w:tc>
        <w:tc>
          <w:tcPr>
            <w:tcW w:w="1174" w:type="dxa"/>
            <w:vMerge w:val="restart"/>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弱电设计说明</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99" w:type="dxa"/>
            <w:vMerge w:val="restart"/>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系统功能和内容</w:t>
            </w:r>
          </w:p>
        </w:tc>
        <w:tc>
          <w:tcPr>
            <w:tcW w:w="4438"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重要资源共享</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□是■否</w:t>
            </w:r>
          </w:p>
        </w:tc>
        <w:tc>
          <w:tcPr>
            <w:tcW w:w="1174" w:type="dxa"/>
            <w:vMerge w:val="continue"/>
            <w:vAlign w:val="center"/>
          </w:tcPr>
          <w:p>
            <w:pPr>
              <w:spacing w:line="360" w:lineRule="auto"/>
              <w:jc w:val="center"/>
              <w:rPr>
                <w:rFonts w:hint="default" w:ascii="Times New Roman" w:hAnsi="Times New Roman" w:cs="Times New Roman"/>
                <w:color w:val="auto"/>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99"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4438"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用水量数据</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□是■否</w:t>
            </w:r>
          </w:p>
        </w:tc>
        <w:tc>
          <w:tcPr>
            <w:tcW w:w="1174" w:type="dxa"/>
            <w:vMerge w:val="continue"/>
            <w:vAlign w:val="center"/>
          </w:tcPr>
          <w:p>
            <w:pPr>
              <w:spacing w:line="360" w:lineRule="auto"/>
              <w:jc w:val="center"/>
              <w:rPr>
                <w:rFonts w:hint="default" w:ascii="Times New Roman" w:hAnsi="Times New Roman" w:cs="Times New Roman"/>
                <w:color w:val="auto"/>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99"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4438"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用电量数据</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□是■否</w:t>
            </w:r>
          </w:p>
        </w:tc>
        <w:tc>
          <w:tcPr>
            <w:tcW w:w="1174" w:type="dxa"/>
            <w:vMerge w:val="continue"/>
            <w:vAlign w:val="center"/>
          </w:tcPr>
          <w:p>
            <w:pPr>
              <w:spacing w:line="360" w:lineRule="auto"/>
              <w:jc w:val="center"/>
              <w:rPr>
                <w:rFonts w:hint="default" w:ascii="Times New Roman" w:hAnsi="Times New Roman" w:cs="Times New Roman"/>
                <w:color w:val="auto"/>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99"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4438"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用气量数据</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c>
          <w:tcPr>
            <w:tcW w:w="1174" w:type="dxa"/>
            <w:vAlign w:val="center"/>
          </w:tcPr>
          <w:p>
            <w:pPr>
              <w:spacing w:line="360" w:lineRule="auto"/>
              <w:jc w:val="center"/>
              <w:rPr>
                <w:rFonts w:hint="default" w:ascii="Times New Roman" w:hAnsi="Times New Roman" w:cs="Times New Roman"/>
                <w:color w:val="auto"/>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99"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4438"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建筑设备、设施信息</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□是■否</w:t>
            </w:r>
          </w:p>
        </w:tc>
        <w:tc>
          <w:tcPr>
            <w:tcW w:w="1174" w:type="dxa"/>
            <w:vAlign w:val="center"/>
          </w:tcPr>
          <w:p>
            <w:pPr>
              <w:spacing w:line="360" w:lineRule="auto"/>
              <w:jc w:val="center"/>
              <w:rPr>
                <w:rFonts w:hint="default" w:ascii="Times New Roman" w:hAnsi="Times New Roman" w:cs="Times New Roman"/>
                <w:color w:val="auto"/>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99"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4438"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311" w:type="dxa"/>
            <w:vAlign w:val="center"/>
          </w:tcPr>
          <w:p>
            <w:pPr>
              <w:spacing w:line="360" w:lineRule="auto"/>
              <w:jc w:val="center"/>
              <w:rPr>
                <w:rFonts w:hint="default" w:ascii="Times New Roman" w:hAnsi="Times New Roman" w:cs="Times New Roman"/>
                <w:color w:val="auto"/>
                <w:szCs w:val="21"/>
                <w:highlight w:val="none"/>
              </w:rPr>
            </w:pPr>
          </w:p>
        </w:tc>
        <w:tc>
          <w:tcPr>
            <w:tcW w:w="1174" w:type="dxa"/>
            <w:vAlign w:val="center"/>
          </w:tcPr>
          <w:p>
            <w:pPr>
              <w:spacing w:line="360" w:lineRule="auto"/>
              <w:jc w:val="center"/>
              <w:rPr>
                <w:rFonts w:hint="default" w:ascii="Times New Roman" w:hAnsi="Times New Roman" w:cs="Times New Roman"/>
                <w:color w:val="auto"/>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8522" w:type="dxa"/>
            <w:gridSpan w:val="4"/>
            <w:vAlign w:val="center"/>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注：各类建筑应设置合理的信息网络系统</w:t>
            </w:r>
            <w:r>
              <w:rPr>
                <w:rFonts w:hint="default" w:ascii="Times New Roman" w:hAnsi="Times New Roman" w:cs="Times New Roman"/>
                <w:bCs/>
                <w:color w:val="auto"/>
                <w:szCs w:val="21"/>
                <w:highlight w:val="none"/>
                <w:lang w:val="zh-CN"/>
              </w:rPr>
              <w:t>。</w:t>
            </w:r>
          </w:p>
        </w:tc>
      </w:tr>
    </w:tbl>
    <w:p>
      <w:pPr>
        <w:spacing w:line="360" w:lineRule="auto"/>
        <w:ind w:left="420"/>
        <w:rPr>
          <w:rFonts w:hint="default" w:ascii="Times New Roman" w:hAnsi="Times New Roman" w:cs="Times New Roman"/>
          <w:color w:val="auto"/>
          <w:sz w:val="24"/>
          <w:highlight w:val="none"/>
        </w:rPr>
      </w:pP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4"/>
        <w:numPr>
          <w:ilvl w:val="0"/>
          <w:numId w:val="22"/>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室内空气质量监测</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室内空气质量监测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设置PM</w:t>
            </w:r>
            <w:r>
              <w:rPr>
                <w:rFonts w:hint="default" w:ascii="Times New Roman" w:hAnsi="Times New Roman" w:cs="Times New Roman"/>
                <w:color w:val="auto"/>
                <w:kern w:val="0"/>
                <w:szCs w:val="21"/>
                <w:highlight w:val="none"/>
                <w:vertAlign w:val="subscript"/>
              </w:rPr>
              <w:t>10</w:t>
            </w:r>
            <w:r>
              <w:rPr>
                <w:rFonts w:hint="default" w:ascii="Times New Roman" w:hAnsi="Times New Roman" w:cs="Times New Roman"/>
                <w:color w:val="auto"/>
                <w:kern w:val="0"/>
                <w:szCs w:val="21"/>
                <w:highlight w:val="none"/>
              </w:rPr>
              <w:t>、PM</w:t>
            </w:r>
            <w:r>
              <w:rPr>
                <w:rFonts w:hint="default" w:ascii="Times New Roman" w:hAnsi="Times New Roman" w:cs="Times New Roman"/>
                <w:color w:val="auto"/>
                <w:kern w:val="0"/>
                <w:szCs w:val="21"/>
                <w:highlight w:val="none"/>
                <w:vertAlign w:val="subscript"/>
              </w:rPr>
              <w:t>2.5</w:t>
            </w:r>
            <w:r>
              <w:rPr>
                <w:rFonts w:hint="default" w:ascii="Times New Roman" w:hAnsi="Times New Roman" w:cs="Times New Roman"/>
                <w:color w:val="auto"/>
                <w:kern w:val="0"/>
                <w:szCs w:val="21"/>
                <w:highlight w:val="none"/>
              </w:rPr>
              <w:t>、CO</w:t>
            </w:r>
            <w:r>
              <w:rPr>
                <w:rFonts w:hint="default" w:ascii="Times New Roman" w:hAnsi="Times New Roman" w:cs="Times New Roman"/>
                <w:color w:val="auto"/>
                <w:kern w:val="0"/>
                <w:szCs w:val="21"/>
                <w:highlight w:val="none"/>
                <w:vertAlign w:val="subscript"/>
              </w:rPr>
              <w:t>2</w:t>
            </w:r>
            <w:r>
              <w:rPr>
                <w:rFonts w:hint="default" w:ascii="Times New Roman" w:hAnsi="Times New Roman" w:cs="Times New Roman"/>
                <w:color w:val="auto"/>
                <w:kern w:val="0"/>
                <w:szCs w:val="21"/>
                <w:highlight w:val="none"/>
              </w:rPr>
              <w:t>浓度的空气质量监测系统，且具有存储至少一年的监测数据和实时显示等功能</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c>
          <w:tcPr>
            <w:tcW w:w="1173" w:type="dxa"/>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二星级项目，对于人员停留的功能房间，设置的室内空气质量监测系统具备定时连续测量、显示、记录和数据传输功能，监测系统对污染物的读数时间间隔不大于10min</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是■否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bl>
    <w:p>
      <w:pPr>
        <w:spacing w:line="360" w:lineRule="auto"/>
        <w:ind w:firstLine="420"/>
        <w:rPr>
          <w:rFonts w:hint="default" w:ascii="Times New Roman" w:hAnsi="Times New Roman" w:cs="Times New Roman"/>
          <w:color w:val="auto"/>
          <w:kern w:val="0"/>
          <w:sz w:val="24"/>
          <w:szCs w:val="24"/>
          <w:highlight w:val="none"/>
        </w:rPr>
      </w:pPr>
    </w:p>
    <w:tbl>
      <w:tblPr>
        <w:tblStyle w:val="14"/>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835"/>
        <w:gridCol w:w="2835"/>
        <w:gridCol w:w="283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505" w:type="dxa"/>
            <w:gridSpan w:val="3"/>
            <w:shd w:val="clear" w:color="auto" w:fill="9FD3A4"/>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室内空气质量监测系统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restart"/>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监测项</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PM</w:t>
            </w:r>
            <w:r>
              <w:rPr>
                <w:rFonts w:hint="default" w:ascii="Times New Roman" w:hAnsi="Times New Roman" w:cs="Times New Roman"/>
                <w:color w:val="auto"/>
                <w:kern w:val="0"/>
                <w:szCs w:val="21"/>
                <w:highlight w:val="none"/>
                <w:vertAlign w:val="subscript"/>
              </w:rPr>
              <w:t>10</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PM</w:t>
            </w:r>
            <w:r>
              <w:rPr>
                <w:rFonts w:hint="default" w:ascii="Times New Roman" w:hAnsi="Times New Roman" w:cs="Times New Roman"/>
                <w:color w:val="auto"/>
                <w:kern w:val="0"/>
                <w:szCs w:val="21"/>
                <w:highlight w:val="none"/>
                <w:vertAlign w:val="subscript"/>
              </w:rPr>
              <w:t>2.5</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CO</w:t>
            </w:r>
            <w:r>
              <w:rPr>
                <w:rFonts w:hint="default" w:ascii="Times New Roman" w:hAnsi="Times New Roman" w:cs="Times New Roman"/>
                <w:color w:val="auto"/>
                <w:kern w:val="0"/>
                <w:szCs w:val="21"/>
                <w:highlight w:val="none"/>
                <w:vertAlign w:val="subscript"/>
              </w:rPr>
              <w:t>2</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甲醛</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苯</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2835" w:type="dxa"/>
            <w:vAlign w:val="center"/>
          </w:tcPr>
          <w:p>
            <w:pPr>
              <w:spacing w:line="360" w:lineRule="auto"/>
              <w:jc w:val="center"/>
              <w:rPr>
                <w:rFonts w:hint="default" w:ascii="Times New Roman" w:hAnsi="Times New Roman" w:cs="Times New Roman"/>
                <w:color w:val="auto"/>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restart"/>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系统功能</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定时连续测量</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实时显示</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数据传输</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35"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存储至少一年的监测数据</w:t>
            </w:r>
          </w:p>
        </w:tc>
        <w:tc>
          <w:tcPr>
            <w:tcW w:w="283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r>
    </w:tbl>
    <w:p>
      <w:pPr>
        <w:spacing w:line="360" w:lineRule="auto"/>
        <w:ind w:firstLine="480" w:firstLineChars="200"/>
        <w:rPr>
          <w:rFonts w:hint="default" w:ascii="Times New Roman" w:hAnsi="Times New Roman" w:cs="Times New Roman"/>
          <w:color w:val="auto"/>
          <w:sz w:val="24"/>
          <w:szCs w:val="24"/>
          <w:highlight w:val="none"/>
        </w:rPr>
      </w:pP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4"/>
        <w:numPr>
          <w:ilvl w:val="0"/>
          <w:numId w:val="22"/>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用水远传计量</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3"/>
        <w:gridCol w:w="3195"/>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用水量远传计量系统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gridSpan w:val="2"/>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设置用水量远传计量系统，能分用途、分类、分级记录、统计分析各种用水情况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restart"/>
            <w:vAlign w:val="center"/>
          </w:tcPr>
          <w:p>
            <w:pPr>
              <w:rPr>
                <w:rFonts w:hint="default" w:ascii="Times New Roman" w:hAnsi="Times New Roman" w:eastAsia="宋体" w:cs="Times New Roman"/>
                <w:color w:val="auto"/>
                <w:kern w:val="0"/>
                <w:szCs w:val="21"/>
                <w:highlight w:val="none"/>
                <w:lang w:eastAsia="zh-CN"/>
              </w:rPr>
            </w:pPr>
            <w:r>
              <w:rPr>
                <w:rFonts w:hint="default" w:ascii="Times New Roman" w:hAnsi="Times New Roman" w:cs="Times New Roman"/>
                <w:color w:val="auto"/>
                <w:szCs w:val="21"/>
                <w:highlight w:val="none"/>
                <w:lang w:eastAsia="zh-CN"/>
              </w:rPr>
              <w:t>水施通-01给排水设计总说明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利用计量数据进行管网漏损自动检测、分析与整改，确保管道漏损率低于5%</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3"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水表编号</w:t>
            </w:r>
          </w:p>
        </w:tc>
        <w:tc>
          <w:tcPr>
            <w:tcW w:w="3195"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用途</w:t>
            </w:r>
          </w:p>
        </w:tc>
        <w:tc>
          <w:tcPr>
            <w:tcW w:w="2484" w:type="dxa"/>
            <w:gridSpan w:val="2"/>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安装位置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319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484" w:type="dxa"/>
            <w:gridSpan w:val="2"/>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319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484" w:type="dxa"/>
            <w:gridSpan w:val="2"/>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319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484" w:type="dxa"/>
            <w:gridSpan w:val="2"/>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319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484" w:type="dxa"/>
            <w:gridSpan w:val="2"/>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3195"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2484" w:type="dxa"/>
            <w:gridSpan w:val="2"/>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4"/>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注：三星级要求：</w:t>
            </w:r>
            <w:r>
              <w:rPr>
                <w:rFonts w:hint="default" w:ascii="Times New Roman" w:hAnsi="Times New Roman" w:cs="Times New Roman"/>
                <w:color w:val="auto"/>
                <w:highlight w:val="none"/>
              </w:rPr>
              <w:t>建筑中各供水系统均应设置用水远传计量系统。</w:t>
            </w:r>
          </w:p>
        </w:tc>
      </w:tr>
    </w:tbl>
    <w:p>
      <w:pPr>
        <w:spacing w:line="360" w:lineRule="auto"/>
        <w:rPr>
          <w:rFonts w:hint="default" w:ascii="Times New Roman" w:hAnsi="Times New Roman" w:cs="Times New Roman"/>
          <w:color w:val="auto"/>
          <w:sz w:val="24"/>
          <w:szCs w:val="24"/>
          <w:highlight w:val="none"/>
        </w:rPr>
      </w:pP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4"/>
        <w:numPr>
          <w:ilvl w:val="0"/>
          <w:numId w:val="22"/>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水质在线监测</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9"/>
        <w:gridCol w:w="3019"/>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szCs w:val="21"/>
                <w:highlight w:val="none"/>
              </w:rPr>
              <w:t>水质在线监测系统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gridSpan w:val="2"/>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设置水质在线监测系统，监测生活饮用水、管道直饮水、游泳池水、非传统水源、空调冷却水的水质指标，记录并保存水质监测结果，且能随时供用户查询</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□是</w:t>
            </w:r>
            <w:r>
              <w:rPr>
                <w:rFonts w:hint="default" w:ascii="Times New Roman" w:hAnsi="Times New Roman" w:cs="Times New Roman"/>
                <w:color w:val="auto"/>
                <w:kern w:val="0"/>
                <w:szCs w:val="21"/>
                <w:highlight w:val="none"/>
              </w:rPr>
              <w:t>■</w:t>
            </w:r>
            <w:r>
              <w:rPr>
                <w:rFonts w:hint="default" w:ascii="Times New Roman" w:hAnsi="Times New Roman" w:cs="Times New Roman"/>
                <w:color w:val="auto"/>
                <w:szCs w:val="21"/>
                <w:highlight w:val="none"/>
              </w:rPr>
              <w:t>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监测项</w:t>
            </w:r>
          </w:p>
        </w:tc>
        <w:tc>
          <w:tcPr>
            <w:tcW w:w="3019"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生活饮用水</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3019"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管道直饮水</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c>
          <w:tcPr>
            <w:tcW w:w="117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3019"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游泳池水</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c>
          <w:tcPr>
            <w:tcW w:w="117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3019"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非传统水源</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c>
          <w:tcPr>
            <w:tcW w:w="117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3019"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空调冷却水</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c>
          <w:tcPr>
            <w:tcW w:w="117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3019"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311" w:type="dxa"/>
          </w:tcPr>
          <w:p>
            <w:pPr>
              <w:jc w:val="center"/>
              <w:rPr>
                <w:rFonts w:hint="default" w:ascii="Times New Roman" w:hAnsi="Times New Roman" w:cs="Times New Roman"/>
                <w:color w:val="auto"/>
                <w:szCs w:val="21"/>
                <w:highlight w:val="none"/>
              </w:rPr>
            </w:pPr>
          </w:p>
        </w:tc>
        <w:tc>
          <w:tcPr>
            <w:tcW w:w="117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系统功能</w:t>
            </w:r>
          </w:p>
        </w:tc>
        <w:tc>
          <w:tcPr>
            <w:tcW w:w="3019"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记录</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c>
          <w:tcPr>
            <w:tcW w:w="117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vMerge w:val="continue"/>
          </w:tcPr>
          <w:p>
            <w:pPr>
              <w:spacing w:line="360" w:lineRule="auto"/>
              <w:rPr>
                <w:rFonts w:hint="default" w:ascii="Times New Roman" w:hAnsi="Times New Roman" w:cs="Times New Roman"/>
                <w:color w:val="auto"/>
                <w:kern w:val="0"/>
                <w:szCs w:val="21"/>
                <w:highlight w:val="none"/>
              </w:rPr>
            </w:pPr>
          </w:p>
        </w:tc>
        <w:tc>
          <w:tcPr>
            <w:tcW w:w="3019"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报警</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c>
          <w:tcPr>
            <w:tcW w:w="117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vMerge w:val="continue"/>
          </w:tcPr>
          <w:p>
            <w:pPr>
              <w:spacing w:line="360" w:lineRule="auto"/>
              <w:rPr>
                <w:rFonts w:hint="default" w:ascii="Times New Roman" w:hAnsi="Times New Roman" w:cs="Times New Roman"/>
                <w:color w:val="auto"/>
                <w:kern w:val="0"/>
                <w:szCs w:val="21"/>
                <w:highlight w:val="none"/>
              </w:rPr>
            </w:pPr>
          </w:p>
        </w:tc>
        <w:tc>
          <w:tcPr>
            <w:tcW w:w="3019"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查询</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 w:val="24"/>
                <w:szCs w:val="24"/>
                <w:highlight w:val="none"/>
              </w:rPr>
              <w:t>□是□否</w:t>
            </w:r>
          </w:p>
        </w:tc>
        <w:tc>
          <w:tcPr>
            <w:tcW w:w="117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vMerge w:val="continue"/>
          </w:tcPr>
          <w:p>
            <w:pPr>
              <w:spacing w:line="360" w:lineRule="auto"/>
              <w:rPr>
                <w:rFonts w:hint="default" w:ascii="Times New Roman" w:hAnsi="Times New Roman" w:cs="Times New Roman"/>
                <w:color w:val="auto"/>
                <w:kern w:val="0"/>
                <w:szCs w:val="21"/>
                <w:highlight w:val="none"/>
              </w:rPr>
            </w:pPr>
          </w:p>
        </w:tc>
        <w:tc>
          <w:tcPr>
            <w:tcW w:w="3019"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存储至少一年的监测数据</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 w:val="24"/>
                <w:szCs w:val="24"/>
                <w:highlight w:val="none"/>
              </w:rPr>
              <w:t>□是□否</w:t>
            </w:r>
          </w:p>
        </w:tc>
        <w:tc>
          <w:tcPr>
            <w:tcW w:w="117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4"/>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注：三星级要求：建筑中各供水系统均应设置水质在线监测系统</w:t>
            </w:r>
            <w:r>
              <w:rPr>
                <w:rFonts w:hint="default" w:ascii="Times New Roman" w:hAnsi="Times New Roman" w:cs="Times New Roman"/>
                <w:bCs/>
                <w:color w:val="auto"/>
                <w:szCs w:val="21"/>
                <w:highlight w:val="none"/>
                <w:lang w:val="zh-CN"/>
              </w:rPr>
              <w:t>。</w:t>
            </w:r>
          </w:p>
        </w:tc>
      </w:tr>
    </w:tbl>
    <w:p>
      <w:pPr>
        <w:spacing w:line="360" w:lineRule="auto"/>
        <w:ind w:firstLine="480" w:firstLineChars="200"/>
        <w:rPr>
          <w:rFonts w:hint="default" w:ascii="Times New Roman" w:hAnsi="Times New Roman" w:cs="Times New Roman"/>
          <w:color w:val="auto"/>
          <w:sz w:val="24"/>
          <w:szCs w:val="24"/>
          <w:highlight w:val="none"/>
        </w:rPr>
      </w:pP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pPr>
        <w:pStyle w:val="4"/>
        <w:numPr>
          <w:ilvl w:val="0"/>
          <w:numId w:val="22"/>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分项计量及能耗监测</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8"/>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3"/>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分项计量及能耗监测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新建国家机关办公建筑、总建筑面积不小于10000m</w:t>
            </w:r>
            <w:r>
              <w:rPr>
                <w:rFonts w:hint="default" w:ascii="Times New Roman" w:hAnsi="Times New Roman" w:cs="Times New Roman"/>
                <w:color w:val="auto"/>
                <w:szCs w:val="21"/>
                <w:highlight w:val="none"/>
                <w:vertAlign w:val="superscript"/>
              </w:rPr>
              <w:t>2</w:t>
            </w:r>
            <w:r>
              <w:rPr>
                <w:rFonts w:hint="default" w:ascii="Times New Roman" w:hAnsi="Times New Roman" w:cs="Times New Roman"/>
                <w:color w:val="auto"/>
                <w:szCs w:val="21"/>
                <w:highlight w:val="none"/>
              </w:rPr>
              <w:t>的公共建筑，设置建筑用能分类计量及数据采集传输装置（能耗监测系统），并向温州市民用建筑能耗信息管理平台传输数据</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restart"/>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弱电设计说明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公共建筑中需单独考核用电量的功能区域、住宅、商业网点和居住建筑的公共设施等单独计量用电量</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冷热源、输配系统和照明等各部分能耗进行独立分项计量</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bl>
    <w:tbl>
      <w:tblPr>
        <w:tblStyle w:val="14"/>
        <w:tblpPr w:leftFromText="180" w:rightFromText="180" w:vertAnchor="text" w:horzAnchor="page" w:tblpX="1801" w:tblpY="4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7"/>
        <w:gridCol w:w="1474"/>
        <w:gridCol w:w="3127"/>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5"/>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szCs w:val="21"/>
                <w:highlight w:val="none"/>
              </w:rPr>
              <w:t>公共建筑用电分项计量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38" w:type="dxa"/>
            <w:gridSpan w:val="3"/>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进行计量的能耗分项</w:t>
            </w:r>
          </w:p>
        </w:tc>
        <w:tc>
          <w:tcPr>
            <w:tcW w:w="1474" w:type="dxa"/>
            <w:vMerge w:val="restart"/>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highlight w:val="none"/>
              </w:rPr>
              <w:t>照明和插座用电</w:t>
            </w: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室内非公用场所照明插座用电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restart"/>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弱电设计说明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474"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室内公用场所照明插座用电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474"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室外景观照明用电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474" w:type="dxa"/>
            <w:vMerge w:val="restart"/>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暖通空调</w:t>
            </w:r>
          </w:p>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highlight w:val="none"/>
              </w:rPr>
              <w:t>用电</w:t>
            </w:r>
          </w:p>
        </w:tc>
        <w:tc>
          <w:tcPr>
            <w:tcW w:w="3127"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highlight w:val="none"/>
              </w:rPr>
              <w:t>冷热站用电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474"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3127"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highlight w:val="none"/>
              </w:rPr>
              <w:t>末端用电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474" w:type="dxa"/>
            <w:vMerge w:val="restart"/>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动力设备</w:t>
            </w:r>
          </w:p>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highlight w:val="none"/>
              </w:rPr>
              <w:t>用电</w:t>
            </w: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电梯用电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474"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给排水系统用电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474"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非空调用通风用电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474" w:type="dxa"/>
            <w:vMerge w:val="restart"/>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highlight w:val="none"/>
              </w:rPr>
              <w:t>特殊用电</w:t>
            </w: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可再生能源发电系统</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474"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信息中心用电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474"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洗衣房用电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474"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厨房用电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474"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室内游泳池用电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474"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娱乐健身中心用电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474"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电开水器用电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474"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其他用电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1474"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外供用电</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5"/>
            <w:shd w:val="clear" w:color="auto" w:fill="9ED3A3"/>
            <w:vAlign w:val="center"/>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b/>
                <w:color w:val="auto"/>
                <w:szCs w:val="21"/>
                <w:highlight w:val="none"/>
              </w:rPr>
              <w:t>公共建筑其他能耗监测计量分项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highlight w:val="none"/>
              </w:rPr>
              <w:t>监测分项</w:t>
            </w:r>
          </w:p>
        </w:tc>
        <w:tc>
          <w:tcPr>
            <w:tcW w:w="1474" w:type="dxa"/>
            <w:vMerge w:val="restart"/>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highlight w:val="none"/>
              </w:rPr>
              <w:t>锅炉房、换热机房和冷冻机房</w:t>
            </w: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燃料的消耗量</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tcPr>
          <w:p>
            <w:pPr>
              <w:spacing w:line="360" w:lineRule="auto"/>
              <w:rPr>
                <w:rFonts w:hint="default" w:ascii="Times New Roman" w:hAnsi="Times New Roman" w:cs="Times New Roman"/>
                <w:color w:val="auto"/>
                <w:kern w:val="0"/>
                <w:szCs w:val="21"/>
                <w:highlight w:val="none"/>
              </w:rPr>
            </w:pPr>
          </w:p>
        </w:tc>
        <w:tc>
          <w:tcPr>
            <w:tcW w:w="1474"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3127" w:type="dxa"/>
            <w:vAlign w:val="center"/>
          </w:tcPr>
          <w:p>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集中供热系统的供热量、补水量</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Merge w:val="continue"/>
          </w:tcPr>
          <w:p>
            <w:pPr>
              <w:spacing w:line="360" w:lineRule="auto"/>
              <w:rPr>
                <w:rFonts w:hint="default" w:ascii="Times New Roman" w:hAnsi="Times New Roman" w:cs="Times New Roman"/>
                <w:color w:val="auto"/>
                <w:kern w:val="0"/>
                <w:szCs w:val="21"/>
                <w:highlight w:val="none"/>
              </w:rPr>
            </w:pPr>
          </w:p>
        </w:tc>
        <w:tc>
          <w:tcPr>
            <w:tcW w:w="4601" w:type="dxa"/>
            <w:gridSpan w:val="2"/>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highlight w:val="none"/>
              </w:rPr>
              <w:t>空调采用区域性冷热源时，设置冷热量的总计量</w:t>
            </w:r>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5"/>
          </w:tcPr>
          <w:p>
            <w:pPr>
              <w:spacing w:line="360" w:lineRule="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注：1）用电分项计量系统应按照现行浙江省工程建设标准《公共建筑用电分项计量系统设计标准》DB33/1090的规定设置。</w:t>
            </w:r>
          </w:p>
          <w:p>
            <w:pPr>
              <w:spacing w:line="360" w:lineRule="auto"/>
              <w:ind w:firstLine="420" w:firstLineChars="200"/>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2）能耗监测系统应对各能耗数据进行集中记录,并有数据分析与优化管理措施。</w:t>
            </w:r>
          </w:p>
        </w:tc>
      </w:tr>
    </w:tbl>
    <w:p>
      <w:pPr>
        <w:spacing w:line="360" w:lineRule="auto"/>
        <w:rPr>
          <w:rFonts w:hint="default" w:ascii="Times New Roman" w:hAnsi="Times New Roman" w:cs="Times New Roman"/>
          <w:color w:val="auto"/>
          <w:sz w:val="24"/>
          <w:szCs w:val="24"/>
          <w:highlight w:val="none"/>
        </w:rPr>
      </w:pPr>
    </w:p>
    <w:p>
      <w:pPr>
        <w:spacing w:line="360" w:lineRule="auto"/>
        <w:rPr>
          <w:rFonts w:hint="default" w:ascii="Times New Roman" w:hAnsi="Times New Roman" w:cs="Times New Roman"/>
          <w:color w:val="auto"/>
          <w:sz w:val="24"/>
          <w:szCs w:val="24"/>
          <w:highlight w:val="none"/>
        </w:rPr>
      </w:pPr>
    </w:p>
    <w:p>
      <w:pPr>
        <w:pStyle w:val="4"/>
        <w:numPr>
          <w:ilvl w:val="0"/>
          <w:numId w:val="22"/>
        </w:numPr>
        <w:spacing w:before="156" w:after="156"/>
        <w:ind w:left="0"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智能化服务</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7"/>
        <w:gridCol w:w="4601"/>
        <w:gridCol w:w="1311"/>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4"/>
            <w:shd w:val="clear" w:color="auto" w:fill="9ED3A3"/>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b/>
                <w:color w:val="auto"/>
                <w:szCs w:val="21"/>
                <w:highlight w:val="none"/>
              </w:rPr>
              <w:t>智能化服务系统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gridSpan w:val="2"/>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措施分项</w:t>
            </w:r>
          </w:p>
        </w:tc>
        <w:tc>
          <w:tcPr>
            <w:tcW w:w="1311"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采纳情况</w:t>
            </w:r>
          </w:p>
        </w:tc>
        <w:tc>
          <w:tcPr>
            <w:tcW w:w="1173" w:type="dxa"/>
            <w:shd w:val="clear" w:color="auto" w:fill="9ED3A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所在图纸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gridSpan w:val="2"/>
          </w:tcPr>
          <w:p>
            <w:pPr>
              <w:spacing w:line="360" w:lineRule="auto"/>
              <w:rPr>
                <w:rFonts w:hint="default" w:ascii="Times New Roman" w:hAnsi="Times New Roman" w:cs="Times New Roman"/>
                <w:color w:val="auto"/>
                <w:kern w:val="0"/>
                <w:szCs w:val="21"/>
                <w:highlight w:val="none"/>
              </w:rPr>
            </w:pPr>
            <w:bookmarkStart w:id="142" w:name="_Hlk123805631"/>
            <w:r>
              <w:rPr>
                <w:rFonts w:hint="default" w:ascii="Times New Roman" w:hAnsi="Times New Roman" w:cs="Times New Roman"/>
                <w:color w:val="auto"/>
                <w:szCs w:val="21"/>
                <w:highlight w:val="none"/>
              </w:rPr>
              <w:t>具有家电控制、照明控制、安全报警、环境监测、建筑设备控制、工作生活服务等至少3种类型的服务功能</w:t>
            </w:r>
            <w:bookmarkEnd w:id="142"/>
          </w:p>
        </w:tc>
        <w:tc>
          <w:tcPr>
            <w:tcW w:w="1311"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restart"/>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弱电设计说明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具有远程监控的功能</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38" w:type="dxa"/>
            <w:gridSpan w:val="2"/>
          </w:tcPr>
          <w:p>
            <w:pPr>
              <w:spacing w:line="360" w:lineRule="auto"/>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接入城市智能平台</w:t>
            </w:r>
          </w:p>
        </w:tc>
        <w:tc>
          <w:tcPr>
            <w:tcW w:w="1311"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□是■否</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7"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服务功能</w:t>
            </w:r>
          </w:p>
        </w:tc>
        <w:tc>
          <w:tcPr>
            <w:tcW w:w="460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家电控制</w:t>
            </w:r>
          </w:p>
        </w:tc>
        <w:tc>
          <w:tcPr>
            <w:tcW w:w="1311" w:type="dxa"/>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w:t>
            </w:r>
          </w:p>
        </w:tc>
        <w:tc>
          <w:tcPr>
            <w:tcW w:w="1173" w:type="dxa"/>
            <w:vMerge w:val="restart"/>
            <w:vAlign w:val="center"/>
          </w:tcPr>
          <w:p>
            <w:pPr>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弱电设计说明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460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照明控制</w:t>
            </w:r>
          </w:p>
        </w:tc>
        <w:tc>
          <w:tcPr>
            <w:tcW w:w="1311"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w:t>
            </w:r>
          </w:p>
        </w:tc>
        <w:tc>
          <w:tcPr>
            <w:tcW w:w="1173" w:type="dxa"/>
            <w:vMerge w:val="continue"/>
            <w:vAlign w:val="center"/>
          </w:tcPr>
          <w:p>
            <w:pPr>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460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安全报警</w:t>
            </w:r>
          </w:p>
        </w:tc>
        <w:tc>
          <w:tcPr>
            <w:tcW w:w="1311"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w:t>
            </w:r>
          </w:p>
        </w:tc>
        <w:tc>
          <w:tcPr>
            <w:tcW w:w="1173"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460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环境监测</w:t>
            </w:r>
          </w:p>
        </w:tc>
        <w:tc>
          <w:tcPr>
            <w:tcW w:w="1311"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7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460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公共生活服务</w:t>
            </w:r>
          </w:p>
        </w:tc>
        <w:tc>
          <w:tcPr>
            <w:tcW w:w="1311" w:type="dxa"/>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c>
          <w:tcPr>
            <w:tcW w:w="1173" w:type="dxa"/>
            <w:vAlign w:val="center"/>
          </w:tcPr>
          <w:p>
            <w:pPr>
              <w:jc w:val="center"/>
              <w:rPr>
                <w:rFonts w:hint="default" w:ascii="Times New Roman" w:hAnsi="Times New Roman" w:cs="Times New Roman"/>
                <w:color w:val="auto"/>
                <w:sz w:val="22"/>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7"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其他功能</w:t>
            </w:r>
          </w:p>
        </w:tc>
        <w:tc>
          <w:tcPr>
            <w:tcW w:w="460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接入城市智能平台</w:t>
            </w:r>
          </w:p>
        </w:tc>
        <w:tc>
          <w:tcPr>
            <w:tcW w:w="1311" w:type="dxa"/>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kern w:val="0"/>
                <w:szCs w:val="21"/>
                <w:highlight w:val="none"/>
              </w:rPr>
              <w:t>□是■否</w:t>
            </w:r>
          </w:p>
        </w:tc>
        <w:tc>
          <w:tcPr>
            <w:tcW w:w="1173" w:type="dxa"/>
            <w:vAlign w:val="center"/>
          </w:tcPr>
          <w:p>
            <w:pPr>
              <w:jc w:val="center"/>
              <w:rPr>
                <w:rStyle w:val="17"/>
                <w:rFonts w:hint="default" w:ascii="Times New Roman" w:hAnsi="Times New Roman" w:cs="Times New Roman"/>
                <w:color w:val="auto"/>
                <w:highlight w:val="none"/>
              </w:rPr>
            </w:pPr>
            <w:r>
              <w:rPr>
                <w:rFonts w:hint="default" w:ascii="Times New Roman" w:hAnsi="Times New Roman" w:cs="Times New Roman"/>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4"/>
          </w:tcPr>
          <w:p>
            <w:pPr>
              <w:spacing w:line="360" w:lineRule="auto"/>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注：1）各类建筑应根据需要设置合理的智能化服务系统。</w:t>
            </w:r>
          </w:p>
          <w:p>
            <w:pPr>
              <w:spacing w:line="360" w:lineRule="auto"/>
              <w:ind w:firstLine="420" w:firstLineChars="200"/>
              <w:jc w:val="left"/>
              <w:rPr>
                <w:rFonts w:hint="default" w:ascii="Times New Roman" w:hAnsi="Times New Roman" w:cs="Times New Roman"/>
                <w:color w:val="auto"/>
                <w:szCs w:val="21"/>
                <w:highlight w:val="none"/>
                <w:lang w:val="zh-CN"/>
              </w:rPr>
            </w:pPr>
            <w:r>
              <w:rPr>
                <w:rFonts w:hint="default" w:ascii="Times New Roman" w:hAnsi="Times New Roman" w:cs="Times New Roman"/>
                <w:color w:val="auto"/>
                <w:szCs w:val="21"/>
                <w:highlight w:val="none"/>
              </w:rPr>
              <w:t>2）集中供暖通风与空气调节系统，应进行室内设备的监测与控制</w:t>
            </w:r>
            <w:r>
              <w:rPr>
                <w:rFonts w:hint="default" w:ascii="Times New Roman" w:hAnsi="Times New Roman" w:cs="Times New Roman"/>
                <w:color w:val="auto"/>
                <w:szCs w:val="21"/>
                <w:highlight w:val="none"/>
                <w:lang w:val="zh-CN"/>
              </w:rPr>
              <w:t>。</w:t>
            </w:r>
          </w:p>
          <w:p>
            <w:pPr>
              <w:spacing w:line="360" w:lineRule="auto"/>
              <w:ind w:firstLine="420" w:firstLineChars="200"/>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3）二星级要求：智能化服务系统应具有远程监控功能。</w:t>
            </w:r>
          </w:p>
        </w:tc>
      </w:tr>
    </w:tbl>
    <w:p>
      <w:pPr>
        <w:pStyle w:val="2"/>
        <w:numPr>
          <w:ilvl w:val="0"/>
          <w:numId w:val="1"/>
        </w:numPr>
        <w:spacing w:before="156" w:after="156"/>
        <w:rPr>
          <w:rFonts w:hint="default" w:ascii="Times New Roman" w:hAnsi="Times New Roman" w:cs="Times New Roman"/>
          <w:color w:val="auto"/>
          <w:highlight w:val="none"/>
        </w:rPr>
      </w:pPr>
      <w:bookmarkStart w:id="143" w:name="_Toc381708772"/>
      <w:bookmarkStart w:id="144" w:name="_Toc381708594"/>
      <w:bookmarkStart w:id="145" w:name="_Toc391477884"/>
      <w:bookmarkStart w:id="146" w:name="_Toc384284849"/>
      <w:bookmarkStart w:id="147" w:name="_Toc381708537"/>
      <w:bookmarkStart w:id="148" w:name="_Toc382465319"/>
      <w:bookmarkStart w:id="149" w:name="_Toc391469274"/>
      <w:r>
        <w:rPr>
          <w:rFonts w:hint="default" w:ascii="Times New Roman" w:hAnsi="Times New Roman" w:cs="Times New Roman"/>
          <w:color w:val="auto"/>
          <w:highlight w:val="none"/>
        </w:rPr>
        <w:br w:type="page"/>
      </w:r>
      <w:bookmarkStart w:id="150" w:name="_Toc28334"/>
      <w:bookmarkStart w:id="151" w:name="_Toc124520275"/>
      <w:r>
        <w:rPr>
          <w:rFonts w:hint="default" w:ascii="Times New Roman" w:hAnsi="Times New Roman" w:cs="Times New Roman"/>
          <w:color w:val="auto"/>
          <w:highlight w:val="none"/>
        </w:rPr>
        <w:t>可再生能源</w:t>
      </w:r>
      <w:bookmarkEnd w:id="150"/>
      <w:bookmarkEnd w:id="151"/>
    </w:p>
    <w:p>
      <w:pPr>
        <w:pStyle w:val="3"/>
        <w:numPr>
          <w:ilvl w:val="0"/>
          <w:numId w:val="23"/>
        </w:numPr>
        <w:spacing w:after="156"/>
        <w:rPr>
          <w:rFonts w:hint="default" w:ascii="Times New Roman" w:hAnsi="Times New Roman" w:cs="Times New Roman"/>
          <w:color w:val="auto"/>
          <w:highlight w:val="none"/>
        </w:rPr>
      </w:pPr>
      <w:bookmarkStart w:id="152" w:name="_Toc124520276"/>
      <w:r>
        <w:rPr>
          <w:rFonts w:hint="default" w:ascii="Times New Roman" w:hAnsi="Times New Roman" w:cs="Times New Roman"/>
          <w:color w:val="auto"/>
          <w:highlight w:val="none"/>
        </w:rPr>
        <w:t>可再生能源种类</w:t>
      </w:r>
      <w:bookmarkEnd w:id="152"/>
    </w:p>
    <w:p>
      <w:pPr>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项目采用的可再生能源：□地源热泵系统；</w:t>
      </w:r>
      <w:r>
        <w:rPr>
          <w:rFonts w:hint="default" w:ascii="Times New Roman" w:hAnsi="Times New Roman" w:cs="Times New Roman"/>
          <w:color w:val="auto"/>
          <w:sz w:val="24"/>
          <w:szCs w:val="24"/>
          <w:highlight w:val="none"/>
          <w:lang w:eastAsia="zh-CN"/>
        </w:rPr>
        <w:t>□</w:t>
      </w:r>
      <w:r>
        <w:rPr>
          <w:rFonts w:hint="default" w:ascii="Times New Roman" w:hAnsi="Times New Roman" w:cs="Times New Roman"/>
          <w:color w:val="auto"/>
          <w:sz w:val="24"/>
          <w:szCs w:val="24"/>
          <w:highlight w:val="none"/>
        </w:rPr>
        <w:t>地表水水源热泵系统，</w:t>
      </w:r>
      <w:r>
        <w:rPr>
          <w:rFonts w:hint="default" w:ascii="Times New Roman" w:hAnsi="Times New Roman" w:cs="Times New Roman"/>
          <w:color w:val="auto"/>
          <w:sz w:val="24"/>
          <w:szCs w:val="24"/>
          <w:highlight w:val="none"/>
          <w:lang w:eastAsia="zh-CN"/>
        </w:rPr>
        <w:t>□</w:t>
      </w:r>
      <w:r>
        <w:rPr>
          <w:rFonts w:hint="default" w:ascii="Times New Roman" w:hAnsi="Times New Roman" w:cs="Times New Roman"/>
          <w:color w:val="auto"/>
          <w:sz w:val="24"/>
          <w:szCs w:val="24"/>
          <w:highlight w:val="none"/>
        </w:rPr>
        <w:t>空气源热泵热水系统，■太阳能光伏发电系统，□太阳能光热系统，□太阳能光诱导系统，□风力发电利用技术，□生物质能利用技术</w:t>
      </w:r>
    </w:p>
    <w:p>
      <w:pPr>
        <w:pStyle w:val="3"/>
        <w:numPr>
          <w:ilvl w:val="0"/>
          <w:numId w:val="23"/>
        </w:numPr>
        <w:spacing w:after="156"/>
        <w:rPr>
          <w:rFonts w:hint="default" w:ascii="Times New Roman" w:hAnsi="Times New Roman" w:cs="Times New Roman"/>
          <w:color w:val="auto"/>
          <w:highlight w:val="none"/>
        </w:rPr>
      </w:pPr>
      <w:bookmarkStart w:id="153" w:name="_Toc124520277"/>
      <w:r>
        <w:rPr>
          <w:rFonts w:hint="default" w:ascii="Times New Roman" w:hAnsi="Times New Roman" w:cs="Times New Roman"/>
          <w:color w:val="auto"/>
          <w:highlight w:val="none"/>
        </w:rPr>
        <w:t>可再生能源应用量</w:t>
      </w:r>
      <w:bookmarkEnd w:id="153"/>
    </w:p>
    <w:tbl>
      <w:tblPr>
        <w:tblStyle w:val="14"/>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247"/>
        <w:gridCol w:w="2611"/>
        <w:gridCol w:w="1983"/>
        <w:gridCol w:w="166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505" w:type="dxa"/>
            <w:gridSpan w:val="4"/>
            <w:shd w:val="clear" w:color="auto" w:fill="9FD3A4"/>
            <w:vAlign w:val="center"/>
          </w:tcPr>
          <w:p>
            <w:pPr>
              <w:spacing w:line="360" w:lineRule="auto"/>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可再生能源应用量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247" w:type="dxa"/>
            <w:vMerge w:val="restart"/>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热水量</w:t>
            </w:r>
          </w:p>
        </w:tc>
        <w:tc>
          <w:tcPr>
            <w:tcW w:w="4594" w:type="dxa"/>
            <w:gridSpan w:val="2"/>
            <w:vAlign w:val="center"/>
          </w:tcPr>
          <w:p>
            <w:pPr>
              <w:spacing w:line="360" w:lineRule="auto"/>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可再生能源提供的热水量（m³/a）</w:t>
            </w:r>
          </w:p>
        </w:tc>
        <w:tc>
          <w:tcPr>
            <w:tcW w:w="1664" w:type="dxa"/>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24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4594" w:type="dxa"/>
            <w:gridSpan w:val="2"/>
            <w:vAlign w:val="center"/>
          </w:tcPr>
          <w:p>
            <w:pPr>
              <w:spacing w:line="360" w:lineRule="auto"/>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项目热水总量（m³/a）</w:t>
            </w:r>
          </w:p>
        </w:tc>
        <w:tc>
          <w:tcPr>
            <w:tcW w:w="1664"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247"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c>
          <w:tcPr>
            <w:tcW w:w="4594" w:type="dxa"/>
            <w:gridSpan w:val="2"/>
            <w:vAlign w:val="center"/>
          </w:tcPr>
          <w:p>
            <w:pPr>
              <w:spacing w:line="360" w:lineRule="auto"/>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可再生能源提供的热水量占比（%）</w:t>
            </w:r>
          </w:p>
        </w:tc>
        <w:tc>
          <w:tcPr>
            <w:tcW w:w="1664"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247" w:type="dxa"/>
            <w:vMerge w:val="restart"/>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冷量和热量</w:t>
            </w:r>
          </w:p>
        </w:tc>
        <w:tc>
          <w:tcPr>
            <w:tcW w:w="4594" w:type="dxa"/>
            <w:gridSpan w:val="2"/>
            <w:vAlign w:val="center"/>
          </w:tcPr>
          <w:p>
            <w:pPr>
              <w:spacing w:line="360" w:lineRule="auto"/>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可再生能源提供的冷量和热量（GJ/a）</w:t>
            </w:r>
          </w:p>
        </w:tc>
        <w:tc>
          <w:tcPr>
            <w:tcW w:w="1664" w:type="dxa"/>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247"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4594" w:type="dxa"/>
            <w:gridSpan w:val="2"/>
            <w:vAlign w:val="center"/>
          </w:tcPr>
          <w:p>
            <w:pPr>
              <w:spacing w:line="360" w:lineRule="auto"/>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项目总冷量和热量（GJ/a）</w:t>
            </w:r>
          </w:p>
        </w:tc>
        <w:tc>
          <w:tcPr>
            <w:tcW w:w="1664"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247"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4594" w:type="dxa"/>
            <w:gridSpan w:val="2"/>
            <w:vAlign w:val="center"/>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可再生能源提供的冷量和热量占比（%）</w:t>
            </w:r>
          </w:p>
        </w:tc>
        <w:tc>
          <w:tcPr>
            <w:tcW w:w="1664"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247" w:type="dxa"/>
            <w:vMerge w:val="restart"/>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电力</w:t>
            </w:r>
          </w:p>
        </w:tc>
        <w:tc>
          <w:tcPr>
            <w:tcW w:w="4594" w:type="dxa"/>
            <w:gridSpan w:val="2"/>
            <w:vAlign w:val="center"/>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可再生能源提供的电力（万kWh/a）</w:t>
            </w:r>
          </w:p>
        </w:tc>
        <w:tc>
          <w:tcPr>
            <w:tcW w:w="1664" w:type="dxa"/>
            <w:vAlign w:val="center"/>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2.66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5" w:hRule="atLeast"/>
          <w:jc w:val="center"/>
        </w:trPr>
        <w:tc>
          <w:tcPr>
            <w:tcW w:w="2247"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4594" w:type="dxa"/>
            <w:gridSpan w:val="2"/>
            <w:vAlign w:val="center"/>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项目总电力（万kWh/a）</w:t>
            </w:r>
          </w:p>
        </w:tc>
        <w:tc>
          <w:tcPr>
            <w:tcW w:w="1664" w:type="dxa"/>
            <w:vAlign w:val="center"/>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20.64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247" w:type="dxa"/>
            <w:vMerge w:val="continue"/>
            <w:vAlign w:val="center"/>
          </w:tcPr>
          <w:p>
            <w:pPr>
              <w:spacing w:line="360" w:lineRule="auto"/>
              <w:jc w:val="center"/>
              <w:rPr>
                <w:rFonts w:hint="default" w:ascii="Times New Roman" w:hAnsi="Times New Roman" w:cs="Times New Roman"/>
                <w:color w:val="auto"/>
                <w:szCs w:val="21"/>
                <w:highlight w:val="none"/>
              </w:rPr>
            </w:pPr>
          </w:p>
        </w:tc>
        <w:tc>
          <w:tcPr>
            <w:tcW w:w="4594" w:type="dxa"/>
            <w:gridSpan w:val="2"/>
            <w:vAlign w:val="center"/>
          </w:tcPr>
          <w:p>
            <w:pPr>
              <w:spacing w:line="360" w:lineRule="auto"/>
              <w:jc w:val="left"/>
              <w:rPr>
                <w:rFonts w:hint="default" w:ascii="Times New Roman" w:hAnsi="Times New Roman" w:cs="Times New Roman"/>
                <w:color w:val="auto"/>
                <w:kern w:val="0"/>
                <w:szCs w:val="21"/>
                <w:highlight w:val="none"/>
              </w:rPr>
            </w:pPr>
            <w:r>
              <w:rPr>
                <w:rFonts w:hint="default" w:ascii="Times New Roman" w:hAnsi="Times New Roman" w:cs="Times New Roman"/>
                <w:color w:val="auto"/>
                <w:szCs w:val="21"/>
                <w:highlight w:val="none"/>
              </w:rPr>
              <w:t>可再生能源提供的电力占比（%）</w:t>
            </w:r>
          </w:p>
        </w:tc>
        <w:tc>
          <w:tcPr>
            <w:tcW w:w="1664" w:type="dxa"/>
            <w:vAlign w:val="center"/>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12.87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6841" w:type="dxa"/>
            <w:gridSpan w:val="3"/>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《民用建筑可再生能源应用核算标准》DBJ33/T1105</w:t>
            </w:r>
            <w:r>
              <w:rPr>
                <w:rFonts w:hint="default" w:ascii="Times New Roman" w:hAnsi="Times New Roman" w:cs="Times New Roman"/>
                <w:color w:val="auto"/>
                <w:szCs w:val="21"/>
                <w:highlight w:val="none"/>
              </w:rPr>
              <w:t>要求的可再生能源应用量（万kWh/a）</w:t>
            </w:r>
          </w:p>
        </w:tc>
        <w:tc>
          <w:tcPr>
            <w:tcW w:w="1664" w:type="dxa"/>
            <w:vAlign w:val="center"/>
          </w:tcPr>
          <w:p>
            <w:pPr>
              <w:jc w:val="center"/>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lang w:val="en-US" w:eastAsia="zh-CN"/>
              </w:rPr>
              <w:t>2.64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1" w:hRule="atLeast"/>
          <w:jc w:val="center"/>
        </w:trPr>
        <w:tc>
          <w:tcPr>
            <w:tcW w:w="4858" w:type="dxa"/>
            <w:gridSpan w:val="2"/>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《关于加快推进新建建筑太阳能光伏系统建设应用工作的通知》（温住建发</w:t>
            </w:r>
            <w:r>
              <w:rPr>
                <w:rFonts w:hint="default" w:ascii="Times New Roman" w:hAnsi="Times New Roman" w:eastAsia="微软雅黑" w:cs="Times New Roman"/>
                <w:color w:val="auto"/>
                <w:kern w:val="0"/>
                <w:szCs w:val="21"/>
                <w:highlight w:val="none"/>
              </w:rPr>
              <w:t>〔</w:t>
            </w:r>
            <w:r>
              <w:rPr>
                <w:rFonts w:hint="default" w:ascii="Times New Roman" w:hAnsi="Times New Roman" w:cs="Times New Roman"/>
                <w:color w:val="auto"/>
                <w:kern w:val="0"/>
                <w:szCs w:val="21"/>
                <w:highlight w:val="none"/>
              </w:rPr>
              <w:t>2022</w:t>
            </w:r>
            <w:r>
              <w:rPr>
                <w:rFonts w:hint="default" w:ascii="Times New Roman" w:hAnsi="Times New Roman" w:eastAsia="微软雅黑" w:cs="Times New Roman"/>
                <w:color w:val="auto"/>
                <w:kern w:val="0"/>
                <w:szCs w:val="21"/>
                <w:highlight w:val="none"/>
              </w:rPr>
              <w:t>〕</w:t>
            </w:r>
            <w:r>
              <w:rPr>
                <w:rFonts w:hint="default" w:ascii="Times New Roman" w:hAnsi="Times New Roman" w:cs="Times New Roman"/>
                <w:color w:val="auto"/>
                <w:kern w:val="0"/>
                <w:szCs w:val="21"/>
                <w:highlight w:val="none"/>
              </w:rPr>
              <w:t>43号）的要求</w:t>
            </w:r>
          </w:p>
        </w:tc>
        <w:tc>
          <w:tcPr>
            <w:tcW w:w="1983"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能耗比例（%）</w:t>
            </w:r>
          </w:p>
        </w:tc>
        <w:tc>
          <w:tcPr>
            <w:tcW w:w="1664" w:type="dxa"/>
            <w:vAlign w:val="center"/>
          </w:tcPr>
          <w:p>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6841" w:type="dxa"/>
            <w:gridSpan w:val="3"/>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项目光伏</w:t>
            </w:r>
            <w:r>
              <w:rPr>
                <w:rFonts w:hint="default" w:ascii="Times New Roman" w:hAnsi="Times New Roman" w:cs="Times New Roman"/>
                <w:color w:val="auto"/>
                <w:kern w:val="0"/>
                <w:szCs w:val="21"/>
                <w:highlight w:val="none"/>
              </w:rPr>
              <w:t>应用量占能耗总量的比例（公共建筑%）</w:t>
            </w:r>
          </w:p>
        </w:tc>
        <w:tc>
          <w:tcPr>
            <w:tcW w:w="1664" w:type="dxa"/>
            <w:vAlign w:val="center"/>
          </w:tcPr>
          <w:p>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Cs w:val="21"/>
                <w:highlight w:val="none"/>
                <w:lang w:val="en-US" w:eastAsia="zh-CN"/>
              </w:rPr>
              <w:t>12.87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6841" w:type="dxa"/>
            <w:gridSpan w:val="3"/>
            <w:vAlign w:val="center"/>
          </w:tcPr>
          <w:p>
            <w:pPr>
              <w:spacing w:line="360" w:lineRule="auto"/>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项目可再生能源应用量（万kWh/a）</w:t>
            </w:r>
          </w:p>
        </w:tc>
        <w:tc>
          <w:tcPr>
            <w:tcW w:w="1664" w:type="dxa"/>
            <w:vAlign w:val="center"/>
          </w:tcPr>
          <w:p>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2.66</w:t>
            </w:r>
          </w:p>
        </w:tc>
      </w:tr>
    </w:tbl>
    <w:p>
      <w:pPr>
        <w:spacing w:line="360" w:lineRule="auto"/>
        <w:ind w:firstLine="420"/>
        <w:rPr>
          <w:rFonts w:hint="default" w:ascii="Times New Roman" w:hAnsi="Times New Roman" w:cs="Times New Roman"/>
          <w:color w:val="auto"/>
          <w:sz w:val="28"/>
          <w:highlight w:val="none"/>
        </w:rPr>
      </w:pPr>
      <w:r>
        <w:rPr>
          <w:rFonts w:hint="default" w:ascii="Times New Roman" w:hAnsi="Times New Roman" w:cs="Times New Roman"/>
          <w:color w:val="auto"/>
          <w:szCs w:val="21"/>
          <w:highlight w:val="none"/>
        </w:rPr>
        <w:t>注：详见可再生能源利用报告（包括项目指标概况，项目总能耗量及计算过程，利用量目标及计算过程，项目可再生能源利用形式，项目可再生能源利用量及计算过程，目标符合性结论；总能耗计算可采用人工计算的方式，相关系数参照浙江省《民用建筑项目节能评估技术导则（规程）》选用，也可采用通过审核的软件计算的方式）。</w:t>
      </w:r>
      <w:bookmarkEnd w:id="143"/>
      <w:bookmarkEnd w:id="144"/>
      <w:bookmarkEnd w:id="145"/>
      <w:bookmarkEnd w:id="146"/>
      <w:bookmarkEnd w:id="147"/>
      <w:bookmarkEnd w:id="148"/>
      <w:bookmarkEnd w:id="149"/>
    </w:p>
    <w:p>
      <w:pPr>
        <w:pStyle w:val="2"/>
        <w:numPr>
          <w:ilvl w:val="0"/>
          <w:numId w:val="1"/>
        </w:numPr>
        <w:spacing w:before="156" w:after="156"/>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bookmarkStart w:id="154" w:name="_Toc124520278"/>
      <w:bookmarkStart w:id="155" w:name="_Toc21786"/>
      <w:r>
        <w:rPr>
          <w:rFonts w:hint="default" w:ascii="Times New Roman" w:hAnsi="Times New Roman" w:cs="Times New Roman"/>
          <w:color w:val="auto"/>
          <w:highlight w:val="none"/>
        </w:rPr>
        <w:t>建筑碳排放分析</w:t>
      </w:r>
      <w:bookmarkEnd w:id="154"/>
      <w:bookmarkEnd w:id="155"/>
    </w:p>
    <w:p>
      <w:pPr>
        <w:pStyle w:val="3"/>
        <w:numPr>
          <w:ilvl w:val="0"/>
          <w:numId w:val="24"/>
        </w:numPr>
        <w:spacing w:after="156"/>
        <w:rPr>
          <w:rFonts w:hint="default" w:ascii="Times New Roman" w:hAnsi="Times New Roman" w:cs="Times New Roman"/>
          <w:color w:val="auto"/>
          <w:highlight w:val="none"/>
        </w:rPr>
      </w:pPr>
      <w:bookmarkStart w:id="156" w:name="_Toc124520279"/>
      <w:r>
        <w:rPr>
          <w:rFonts w:hint="default" w:ascii="Times New Roman" w:hAnsi="Times New Roman" w:cs="Times New Roman"/>
          <w:color w:val="auto"/>
          <w:highlight w:val="none"/>
        </w:rPr>
        <w:t>建筑碳排放来源</w:t>
      </w:r>
      <w:bookmarkEnd w:id="156"/>
    </w:p>
    <w:p>
      <w:pPr>
        <w:numPr>
          <w:ilvl w:val="0"/>
          <w:numId w:val="25"/>
        </w:numPr>
        <w:spacing w:line="360" w:lineRule="auto"/>
        <w:ind w:left="0" w:firstLine="426"/>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间接碳排放来源：</w:t>
      </w:r>
      <w:r>
        <w:rPr>
          <w:rFonts w:hint="default" w:ascii="Times New Roman" w:hAnsi="Times New Roman" w:cs="Times New Roman"/>
          <w:color w:val="auto"/>
          <w:sz w:val="24"/>
          <w:szCs w:val="24"/>
          <w:highlight w:val="none"/>
        </w:rPr>
        <w:t>■</w:t>
      </w:r>
      <w:r>
        <w:rPr>
          <w:rFonts w:hint="default" w:ascii="Times New Roman" w:hAnsi="Times New Roman" w:cs="Times New Roman"/>
          <w:color w:val="auto"/>
          <w:sz w:val="24"/>
          <w:highlight w:val="none"/>
        </w:rPr>
        <w:t>电力。</w:t>
      </w:r>
    </w:p>
    <w:p>
      <w:pPr>
        <w:numPr>
          <w:ilvl w:val="0"/>
          <w:numId w:val="25"/>
        </w:numPr>
        <w:spacing w:line="360" w:lineRule="auto"/>
        <w:ind w:left="0" w:firstLine="426"/>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直接碳排放来源：</w:t>
      </w:r>
      <w:r>
        <w:rPr>
          <w:rFonts w:hint="default" w:ascii="Times New Roman" w:hAnsi="Times New Roman" w:cs="Times New Roman"/>
          <w:color w:val="auto"/>
          <w:sz w:val="24"/>
          <w:szCs w:val="24"/>
          <w:highlight w:val="none"/>
        </w:rPr>
        <w:t>□</w:t>
      </w:r>
      <w:r>
        <w:rPr>
          <w:rFonts w:hint="default" w:ascii="Times New Roman" w:hAnsi="Times New Roman" w:cs="Times New Roman"/>
          <w:color w:val="auto"/>
          <w:sz w:val="24"/>
          <w:highlight w:val="none"/>
        </w:rPr>
        <w:t>天然气、</w:t>
      </w:r>
      <w:r>
        <w:rPr>
          <w:rFonts w:hint="default" w:ascii="Times New Roman" w:hAnsi="Times New Roman" w:cs="Times New Roman"/>
          <w:color w:val="auto"/>
          <w:sz w:val="24"/>
          <w:szCs w:val="24"/>
          <w:highlight w:val="none"/>
        </w:rPr>
        <w:t>□</w:t>
      </w:r>
      <w:r>
        <w:rPr>
          <w:rFonts w:hint="default" w:ascii="Times New Roman" w:hAnsi="Times New Roman" w:cs="Times New Roman"/>
          <w:color w:val="auto"/>
          <w:sz w:val="24"/>
          <w:highlight w:val="none"/>
        </w:rPr>
        <w:t>液化石油气、</w:t>
      </w:r>
      <w:r>
        <w:rPr>
          <w:rFonts w:hint="default" w:ascii="Times New Roman" w:hAnsi="Times New Roman" w:cs="Times New Roman"/>
          <w:color w:val="auto"/>
          <w:sz w:val="24"/>
          <w:szCs w:val="24"/>
          <w:highlight w:val="none"/>
        </w:rPr>
        <w:t>□</w:t>
      </w:r>
      <w:r>
        <w:rPr>
          <w:rFonts w:hint="default" w:ascii="Times New Roman" w:hAnsi="Times New Roman" w:cs="Times New Roman"/>
          <w:color w:val="auto"/>
          <w:sz w:val="24"/>
          <w:highlight w:val="none"/>
        </w:rPr>
        <w:t>煤、</w:t>
      </w:r>
      <w:r>
        <w:rPr>
          <w:rFonts w:hint="default" w:ascii="Times New Roman" w:hAnsi="Times New Roman" w:cs="Times New Roman"/>
          <w:color w:val="auto"/>
          <w:sz w:val="24"/>
          <w:szCs w:val="24"/>
          <w:highlight w:val="none"/>
        </w:rPr>
        <w:t>□</w:t>
      </w:r>
      <w:r>
        <w:rPr>
          <w:rFonts w:hint="default" w:ascii="Times New Roman" w:hAnsi="Times New Roman" w:cs="Times New Roman"/>
          <w:color w:val="auto"/>
          <w:sz w:val="24"/>
          <w:highlight w:val="none"/>
        </w:rPr>
        <w:t>汽油、</w:t>
      </w:r>
      <w:r>
        <w:rPr>
          <w:rFonts w:hint="default" w:ascii="Times New Roman" w:hAnsi="Times New Roman" w:cs="Times New Roman"/>
          <w:color w:val="auto"/>
          <w:sz w:val="24"/>
          <w:szCs w:val="24"/>
          <w:highlight w:val="none"/>
        </w:rPr>
        <w:t>□</w:t>
      </w:r>
      <w:r>
        <w:rPr>
          <w:rFonts w:hint="default" w:ascii="Times New Roman" w:hAnsi="Times New Roman" w:cs="Times New Roman"/>
          <w:color w:val="auto"/>
          <w:sz w:val="24"/>
          <w:highlight w:val="none"/>
        </w:rPr>
        <w:t>柴油、其他</w:t>
      </w:r>
      <w:r>
        <w:rPr>
          <w:rFonts w:hint="default" w:ascii="Times New Roman" w:hAnsi="Times New Roman" w:cs="Times New Roman"/>
          <w:color w:val="auto"/>
          <w:sz w:val="24"/>
          <w:szCs w:val="24"/>
          <w:highlight w:val="none"/>
        </w:rPr>
        <w:t>：</w:t>
      </w:r>
      <w:r>
        <w:rPr>
          <w:rFonts w:hint="default" w:ascii="Times New Roman" w:hAnsi="Times New Roman" w:cs="Times New Roman"/>
          <w:color w:val="auto"/>
          <w:sz w:val="24"/>
          <w:szCs w:val="24"/>
          <w:highlight w:val="none"/>
          <w:u w:val="single"/>
        </w:rPr>
        <w:t>/</w:t>
      </w:r>
      <w:r>
        <w:rPr>
          <w:rFonts w:hint="default" w:ascii="Times New Roman" w:hAnsi="Times New Roman" w:cs="Times New Roman"/>
          <w:color w:val="auto"/>
          <w:sz w:val="24"/>
          <w:szCs w:val="24"/>
          <w:highlight w:val="none"/>
        </w:rPr>
        <w:t>。</w:t>
      </w:r>
    </w:p>
    <w:p>
      <w:pPr>
        <w:pStyle w:val="3"/>
        <w:numPr>
          <w:ilvl w:val="0"/>
          <w:numId w:val="24"/>
        </w:numPr>
        <w:spacing w:after="156"/>
        <w:rPr>
          <w:rFonts w:hint="default" w:ascii="Times New Roman" w:hAnsi="Times New Roman" w:cs="Times New Roman"/>
          <w:color w:val="auto"/>
          <w:highlight w:val="none"/>
        </w:rPr>
      </w:pPr>
      <w:bookmarkStart w:id="157" w:name="_Toc124520280"/>
      <w:r>
        <w:rPr>
          <w:rFonts w:hint="default" w:ascii="Times New Roman" w:hAnsi="Times New Roman" w:cs="Times New Roman"/>
          <w:color w:val="auto"/>
          <w:highlight w:val="none"/>
        </w:rPr>
        <w:t>建筑碳排放强度（运行阶段）</w:t>
      </w:r>
      <w:bookmarkEnd w:id="157"/>
    </w:p>
    <w:p>
      <w:pPr>
        <w:numPr>
          <w:ilvl w:val="0"/>
          <w:numId w:val="26"/>
        </w:numPr>
        <w:spacing w:line="360" w:lineRule="auto"/>
        <w:rPr>
          <w:rFonts w:hint="default" w:ascii="Times New Roman" w:hAnsi="Times New Roman" w:cs="Times New Roman"/>
          <w:color w:val="auto"/>
          <w:sz w:val="22"/>
          <w:highlight w:val="none"/>
        </w:rPr>
      </w:pPr>
      <w:r>
        <w:rPr>
          <w:rFonts w:hint="default" w:ascii="Times New Roman" w:hAnsi="Times New Roman" w:cs="Times New Roman"/>
          <w:color w:val="auto"/>
          <w:sz w:val="22"/>
          <w:szCs w:val="21"/>
          <w:highlight w:val="none"/>
        </w:rPr>
        <w:t>建筑年</w:t>
      </w:r>
      <w:r>
        <w:rPr>
          <w:rFonts w:hint="default" w:ascii="Times New Roman" w:hAnsi="Times New Roman" w:cs="Times New Roman"/>
          <w:color w:val="auto"/>
          <w:sz w:val="22"/>
          <w:highlight w:val="none"/>
        </w:rPr>
        <w:t>碳排放总量</w:t>
      </w:r>
      <w:r>
        <w:rPr>
          <w:rFonts w:hint="default" w:ascii="Times New Roman" w:hAnsi="Times New Roman" w:cs="Times New Roman"/>
          <w:color w:val="auto"/>
          <w:sz w:val="22"/>
          <w:highlight w:val="none"/>
          <w:u w:val="single"/>
        </w:rPr>
        <w:t>124553.73</w:t>
      </w:r>
      <w:r>
        <w:rPr>
          <w:rFonts w:hint="default" w:ascii="Times New Roman" w:hAnsi="Times New Roman" w:cs="Times New Roman"/>
          <w:color w:val="auto"/>
          <w:kern w:val="0"/>
          <w:sz w:val="22"/>
          <w:highlight w:val="none"/>
        </w:rPr>
        <w:t>（kgCO</w:t>
      </w:r>
      <w:r>
        <w:rPr>
          <w:rFonts w:hint="default" w:ascii="Times New Roman" w:hAnsi="Times New Roman" w:cs="Times New Roman"/>
          <w:color w:val="auto"/>
          <w:kern w:val="0"/>
          <w:sz w:val="22"/>
          <w:highlight w:val="none"/>
          <w:vertAlign w:val="subscript"/>
        </w:rPr>
        <w:t>2</w:t>
      </w:r>
      <w:r>
        <w:rPr>
          <w:rFonts w:hint="default" w:ascii="Times New Roman" w:hAnsi="Times New Roman" w:cs="Times New Roman"/>
          <w:color w:val="auto"/>
          <w:kern w:val="0"/>
          <w:sz w:val="22"/>
          <w:highlight w:val="none"/>
        </w:rPr>
        <w:t>）</w:t>
      </w:r>
      <w:r>
        <w:rPr>
          <w:rFonts w:hint="default" w:ascii="Times New Roman" w:hAnsi="Times New Roman" w:cs="Times New Roman"/>
          <w:color w:val="auto"/>
          <w:sz w:val="22"/>
          <w:highlight w:val="none"/>
        </w:rPr>
        <w:t>。</w:t>
      </w:r>
    </w:p>
    <w:p>
      <w:pPr>
        <w:numPr>
          <w:ilvl w:val="0"/>
          <w:numId w:val="26"/>
        </w:numPr>
        <w:spacing w:line="360" w:lineRule="auto"/>
        <w:rPr>
          <w:rFonts w:hint="default" w:ascii="Times New Roman" w:hAnsi="Times New Roman" w:cs="Times New Roman"/>
          <w:color w:val="auto"/>
          <w:sz w:val="22"/>
          <w:highlight w:val="none"/>
        </w:rPr>
      </w:pPr>
      <w:r>
        <w:rPr>
          <w:rFonts w:hint="default" w:ascii="Times New Roman" w:hAnsi="Times New Roman" w:cs="Times New Roman"/>
          <w:color w:val="auto"/>
          <w:sz w:val="22"/>
          <w:highlight w:val="none"/>
        </w:rPr>
        <w:t>建筑年碳排放强度目标</w:t>
      </w:r>
      <w:r>
        <w:rPr>
          <w:rFonts w:hint="default" w:ascii="Times New Roman" w:hAnsi="Times New Roman" w:cs="Times New Roman"/>
          <w:color w:val="auto"/>
          <w:sz w:val="22"/>
          <w:highlight w:val="none"/>
          <w:u w:val="single"/>
        </w:rPr>
        <w:t>/</w:t>
      </w:r>
      <w:r>
        <w:rPr>
          <w:rFonts w:hint="default" w:ascii="Times New Roman" w:hAnsi="Times New Roman" w:cs="Times New Roman"/>
          <w:color w:val="auto"/>
          <w:kern w:val="0"/>
          <w:sz w:val="22"/>
          <w:highlight w:val="none"/>
        </w:rPr>
        <w:t>（kgCO</w:t>
      </w:r>
      <w:r>
        <w:rPr>
          <w:rFonts w:hint="default" w:ascii="Times New Roman" w:hAnsi="Times New Roman" w:cs="Times New Roman"/>
          <w:color w:val="auto"/>
          <w:kern w:val="0"/>
          <w:sz w:val="22"/>
          <w:highlight w:val="none"/>
          <w:vertAlign w:val="subscript"/>
        </w:rPr>
        <w:t>2</w:t>
      </w:r>
      <w:r>
        <w:rPr>
          <w:rFonts w:hint="default" w:ascii="Times New Roman" w:hAnsi="Times New Roman" w:cs="Times New Roman"/>
          <w:color w:val="auto"/>
          <w:kern w:val="0"/>
          <w:sz w:val="22"/>
          <w:highlight w:val="none"/>
        </w:rPr>
        <w:t>）/㎡，</w:t>
      </w:r>
      <w:r>
        <w:rPr>
          <w:rFonts w:hint="default" w:ascii="Times New Roman" w:hAnsi="Times New Roman" w:cs="Times New Roman"/>
          <w:color w:val="auto"/>
          <w:sz w:val="22"/>
          <w:highlight w:val="none"/>
        </w:rPr>
        <w:t>建筑年碳排放强度</w:t>
      </w:r>
      <w:r>
        <w:rPr>
          <w:rFonts w:hint="default" w:ascii="Times New Roman" w:hAnsi="Times New Roman" w:cs="Times New Roman"/>
          <w:color w:val="auto"/>
          <w:sz w:val="22"/>
          <w:highlight w:val="none"/>
          <w:u w:val="single"/>
          <w:lang w:val="en-US" w:eastAsia="zh-CN"/>
        </w:rPr>
        <w:t>70.89</w:t>
      </w:r>
      <w:r>
        <w:rPr>
          <w:rFonts w:hint="default" w:ascii="Times New Roman" w:hAnsi="Times New Roman" w:cs="Times New Roman"/>
          <w:color w:val="auto"/>
          <w:kern w:val="0"/>
          <w:sz w:val="22"/>
          <w:highlight w:val="none"/>
        </w:rPr>
        <w:t>（kgCO</w:t>
      </w:r>
      <w:r>
        <w:rPr>
          <w:rFonts w:hint="default" w:ascii="Times New Roman" w:hAnsi="Times New Roman" w:cs="Times New Roman"/>
          <w:color w:val="auto"/>
          <w:kern w:val="0"/>
          <w:sz w:val="22"/>
          <w:highlight w:val="none"/>
          <w:vertAlign w:val="subscript"/>
        </w:rPr>
        <w:t>2</w:t>
      </w:r>
      <w:r>
        <w:rPr>
          <w:rFonts w:hint="default" w:ascii="Times New Roman" w:hAnsi="Times New Roman" w:cs="Times New Roman"/>
          <w:color w:val="auto"/>
          <w:kern w:val="0"/>
          <w:sz w:val="22"/>
          <w:highlight w:val="none"/>
        </w:rPr>
        <w:t>）/㎡</w:t>
      </w:r>
      <w:r>
        <w:rPr>
          <w:rFonts w:hint="default" w:ascii="Times New Roman" w:hAnsi="Times New Roman" w:cs="Times New Roman"/>
          <w:color w:val="auto"/>
          <w:sz w:val="22"/>
          <w:highlight w:val="none"/>
        </w:rPr>
        <w:t>。</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03"/>
        <w:gridCol w:w="2620"/>
        <w:gridCol w:w="1844"/>
        <w:gridCol w:w="13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5" w:type="dxa"/>
            <w:gridSpan w:val="4"/>
            <w:shd w:val="clear" w:color="auto" w:fill="9FD3A4"/>
          </w:tcPr>
          <w:p>
            <w:pPr>
              <w:spacing w:line="360" w:lineRule="auto"/>
              <w:rPr>
                <w:rFonts w:hint="default" w:ascii="Times New Roman" w:hAnsi="Times New Roman" w:cs="Times New Roman"/>
                <w:b/>
                <w:color w:val="auto"/>
                <w:kern w:val="0"/>
                <w:szCs w:val="21"/>
                <w:highlight w:val="none"/>
              </w:rPr>
            </w:pPr>
            <w:r>
              <w:rPr>
                <w:rFonts w:hint="default" w:ascii="Times New Roman" w:hAnsi="Times New Roman" w:cs="Times New Roman"/>
                <w:b/>
                <w:color w:val="auto"/>
                <w:kern w:val="0"/>
                <w:szCs w:val="21"/>
                <w:highlight w:val="none"/>
              </w:rPr>
              <w:t>年碳排放强度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03" w:type="dxa"/>
            <w:shd w:val="clear" w:color="auto" w:fill="9ED3A3"/>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指标</w:t>
            </w:r>
          </w:p>
        </w:tc>
        <w:tc>
          <w:tcPr>
            <w:tcW w:w="2620" w:type="dxa"/>
            <w:shd w:val="clear" w:color="auto" w:fill="9ED3A3"/>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专项规划及规划条件要求</w:t>
            </w:r>
          </w:p>
        </w:tc>
        <w:tc>
          <w:tcPr>
            <w:tcW w:w="1844" w:type="dxa"/>
            <w:shd w:val="clear" w:color="auto" w:fill="9ED3A3"/>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设计预测情况</w:t>
            </w:r>
          </w:p>
        </w:tc>
        <w:tc>
          <w:tcPr>
            <w:tcW w:w="1338" w:type="dxa"/>
            <w:shd w:val="clear" w:color="auto" w:fill="9ED3A3"/>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符合性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0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能耗总量（kWh）</w:t>
            </w:r>
          </w:p>
        </w:tc>
        <w:tc>
          <w:tcPr>
            <w:tcW w:w="2620"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844"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000000"/>
                <w:kern w:val="2"/>
                <w:sz w:val="22"/>
                <w:szCs w:val="22"/>
                <w:u w:val="none"/>
                <w:lang w:val="en-US" w:eastAsia="zh-CN" w:bidi="ar-SA"/>
              </w:rPr>
            </w:pPr>
            <w:r>
              <w:rPr>
                <w:rFonts w:hint="default" w:ascii="Times New Roman" w:hAnsi="Times New Roman" w:eastAsia="宋体" w:cs="Times New Roman"/>
                <w:i w:val="0"/>
                <w:iCs w:val="0"/>
                <w:color w:val="000000"/>
                <w:kern w:val="0"/>
                <w:sz w:val="22"/>
                <w:szCs w:val="22"/>
                <w:u w:val="none"/>
                <w:lang w:val="en-US" w:eastAsia="zh-CN" w:bidi="ar"/>
              </w:rPr>
              <w:t>214378.19</w:t>
            </w:r>
          </w:p>
        </w:tc>
        <w:tc>
          <w:tcPr>
            <w:tcW w:w="1338"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 w:val="24"/>
                <w:szCs w:val="24"/>
                <w:highlight w:val="none"/>
              </w:rPr>
              <w:t>■</w:t>
            </w: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0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能耗强度（kWh/㎡）</w:t>
            </w:r>
          </w:p>
        </w:tc>
        <w:tc>
          <w:tcPr>
            <w:tcW w:w="2620"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844"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122.01</w:t>
            </w:r>
          </w:p>
        </w:tc>
        <w:tc>
          <w:tcPr>
            <w:tcW w:w="1338" w:type="dxa"/>
            <w:vMerge w:val="continue"/>
            <w:vAlign w:val="center"/>
          </w:tcPr>
          <w:p>
            <w:pPr>
              <w:spacing w:line="360" w:lineRule="auto"/>
              <w:jc w:val="center"/>
              <w:rPr>
                <w:rFonts w:hint="default" w:ascii="Times New Roman" w:hAnsi="Times New Roman" w:cs="Times New Roman"/>
                <w:color w:val="auto"/>
                <w:kern w:val="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0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碳排放总量（kgCO</w:t>
            </w:r>
            <w:r>
              <w:rPr>
                <w:rFonts w:hint="default" w:ascii="Times New Roman" w:hAnsi="Times New Roman" w:cs="Times New Roman"/>
                <w:color w:val="auto"/>
                <w:kern w:val="0"/>
                <w:szCs w:val="21"/>
                <w:highlight w:val="none"/>
                <w:vertAlign w:val="subscript"/>
              </w:rPr>
              <w:t>2</w:t>
            </w:r>
            <w:r>
              <w:rPr>
                <w:rFonts w:hint="default" w:ascii="Times New Roman" w:hAnsi="Times New Roman" w:cs="Times New Roman"/>
                <w:color w:val="auto"/>
                <w:kern w:val="0"/>
                <w:szCs w:val="21"/>
                <w:highlight w:val="none"/>
              </w:rPr>
              <w:t>）</w:t>
            </w:r>
          </w:p>
        </w:tc>
        <w:tc>
          <w:tcPr>
            <w:tcW w:w="2620"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844"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124553.73</w:t>
            </w:r>
          </w:p>
        </w:tc>
        <w:tc>
          <w:tcPr>
            <w:tcW w:w="1338" w:type="dxa"/>
            <w:vMerge w:val="restart"/>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sz w:val="24"/>
                <w:szCs w:val="24"/>
                <w:highlight w:val="none"/>
              </w:rPr>
              <w:t>■</w:t>
            </w:r>
            <w:r>
              <w:rPr>
                <w:rFonts w:hint="default" w:ascii="Times New Roman" w:hAnsi="Times New Roman" w:cs="Times New Roman"/>
                <w:color w:val="auto"/>
                <w:kern w:val="0"/>
                <w:szCs w:val="21"/>
                <w:highlight w:val="none"/>
              </w:rPr>
              <w:t>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03" w:type="dxa"/>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碳排放强度（kgCO</w:t>
            </w:r>
            <w:r>
              <w:rPr>
                <w:rFonts w:hint="default" w:ascii="Times New Roman" w:hAnsi="Times New Roman" w:cs="Times New Roman"/>
                <w:color w:val="auto"/>
                <w:kern w:val="0"/>
                <w:szCs w:val="21"/>
                <w:highlight w:val="none"/>
                <w:vertAlign w:val="subscript"/>
              </w:rPr>
              <w:t>2</w:t>
            </w:r>
            <w:r>
              <w:rPr>
                <w:rFonts w:hint="default" w:ascii="Times New Roman" w:hAnsi="Times New Roman" w:cs="Times New Roman"/>
                <w:color w:val="auto"/>
                <w:kern w:val="0"/>
                <w:szCs w:val="21"/>
                <w:highlight w:val="none"/>
              </w:rPr>
              <w:t>/㎡）</w:t>
            </w:r>
          </w:p>
        </w:tc>
        <w:tc>
          <w:tcPr>
            <w:tcW w:w="2620" w:type="dxa"/>
            <w:vAlign w:val="center"/>
          </w:tcPr>
          <w:p>
            <w:pPr>
              <w:spacing w:line="360" w:lineRule="auto"/>
              <w:jc w:val="center"/>
              <w:rPr>
                <w:rFonts w:hint="default" w:ascii="Times New Roman" w:hAnsi="Times New Roman" w:cs="Times New Roman"/>
                <w:color w:val="auto"/>
                <w:kern w:val="0"/>
                <w:szCs w:val="21"/>
                <w:highlight w:val="none"/>
              </w:rPr>
            </w:pPr>
            <w:r>
              <w:rPr>
                <w:rFonts w:hint="default" w:ascii="Times New Roman" w:hAnsi="Times New Roman" w:cs="Times New Roman"/>
                <w:color w:val="auto"/>
                <w:kern w:val="0"/>
                <w:szCs w:val="21"/>
                <w:highlight w:val="none"/>
              </w:rPr>
              <w:t>/</w:t>
            </w:r>
          </w:p>
        </w:tc>
        <w:tc>
          <w:tcPr>
            <w:tcW w:w="1844" w:type="dxa"/>
            <w:vAlign w:val="center"/>
          </w:tcPr>
          <w:p>
            <w:pPr>
              <w:spacing w:line="360" w:lineRule="auto"/>
              <w:jc w:val="center"/>
              <w:rPr>
                <w:rFonts w:hint="default" w:ascii="Times New Roman" w:hAnsi="Times New Roman" w:cs="Times New Roman"/>
                <w:color w:val="auto"/>
                <w:kern w:val="0"/>
                <w:szCs w:val="21"/>
                <w:highlight w:val="none"/>
                <w:lang w:val="en-US" w:eastAsia="zh-CN"/>
              </w:rPr>
            </w:pPr>
            <w:r>
              <w:rPr>
                <w:rFonts w:hint="default" w:ascii="Times New Roman" w:hAnsi="Times New Roman" w:cs="Times New Roman"/>
                <w:color w:val="auto"/>
                <w:kern w:val="0"/>
                <w:szCs w:val="21"/>
                <w:highlight w:val="none"/>
                <w:lang w:val="en-US" w:eastAsia="zh-CN"/>
              </w:rPr>
              <w:t>70.89</w:t>
            </w:r>
          </w:p>
        </w:tc>
        <w:tc>
          <w:tcPr>
            <w:tcW w:w="1338" w:type="dxa"/>
            <w:vMerge w:val="continue"/>
          </w:tcPr>
          <w:p>
            <w:pPr>
              <w:spacing w:line="360" w:lineRule="auto"/>
              <w:jc w:val="center"/>
              <w:rPr>
                <w:rFonts w:hint="default" w:ascii="Times New Roman" w:hAnsi="Times New Roman" w:cs="Times New Roman"/>
                <w:color w:val="auto"/>
                <w:kern w:val="0"/>
                <w:szCs w:val="21"/>
                <w:highlight w:val="none"/>
              </w:rPr>
            </w:pPr>
          </w:p>
        </w:tc>
      </w:tr>
    </w:tbl>
    <w:p>
      <w:pPr>
        <w:spacing w:line="360" w:lineRule="auto"/>
        <w:ind w:firstLine="42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详见项目建筑碳排放报告（碳排放报告应涵盖建筑运行相关的所有碳排放来源）。</w:t>
      </w:r>
    </w:p>
    <w:p>
      <w:pPr>
        <w:spacing w:line="360" w:lineRule="auto"/>
        <w:ind w:firstLine="42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建筑年碳排放强度目标在相关定额标准出具后填写。</w:t>
      </w: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tabs>
          <w:tab w:val="left" w:pos="2930"/>
        </w:tabs>
        <w:rPr>
          <w:rFonts w:hint="default" w:ascii="Times New Roman" w:hAnsi="Times New Roman" w:cs="Times New Roman"/>
          <w:color w:val="auto"/>
          <w:highlight w:val="none"/>
        </w:rPr>
      </w:pPr>
      <w:r>
        <w:rPr>
          <w:rFonts w:hint="default" w:ascii="Times New Roman" w:hAnsi="Times New Roman" w:cs="Times New Roman"/>
          <w:color w:val="auto"/>
          <w:highlight w:val="none"/>
        </w:rPr>
        <w:tab/>
      </w: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sectPr>
      <w:footerReference r:id="rId4" w:type="default"/>
      <w:pgSz w:w="11906" w:h="16838"/>
      <w:pgMar w:top="1440" w:right="1800" w:bottom="1440" w:left="1800" w:header="851" w:footer="992" w:gutter="0"/>
      <w:pgNumType w:start="5"/>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ZWAdobeF">
    <w:panose1 w:val="00000000000000000000"/>
    <w:charset w:val="00"/>
    <w:family w:val="auto"/>
    <w:pitch w:val="default"/>
    <w:sig w:usb0="00000001" w:usb1="00000000" w:usb2="00000000" w:usb3="00000000" w:csb0="400001FF" w:csb1="FFFF0000"/>
  </w:font>
  <w:font w:name="Tahoma">
    <w:panose1 w:val="020B0604030504040204"/>
    <w:charset w:val="00"/>
    <w:family w:val="auto"/>
    <w:pitch w:val="default"/>
    <w:sig w:usb0="E1002EFF" w:usb1="C000605B" w:usb2="00000029" w:usb3="00000000" w:csb0="200101FF" w:csb1="2028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62307818"/>
      <w:docPartObj>
        <w:docPartGallery w:val="autotext"/>
      </w:docPartObj>
    </w:sdtPr>
    <w:sdtContent>
      <w:p>
        <w:pPr>
          <w:pStyle w:val="8"/>
          <w:jc w:val="center"/>
        </w:pPr>
        <w:r>
          <w:fldChar w:fldCharType="begin"/>
        </w:r>
        <w:r>
          <w:instrText xml:space="preserve">PAGE   \* MERGEFORMAT</w:instrText>
        </w:r>
        <w:r>
          <w:fldChar w:fldCharType="separate"/>
        </w:r>
        <w:r>
          <w:rPr>
            <w:lang w:val="zh-CN"/>
          </w:rPr>
          <w:t>2</w:t>
        </w:r>
        <w:r>
          <w:fldChar w:fldCharType="end"/>
        </w:r>
      </w:p>
    </w:sdtContent>
  </w:sdt>
  <w:p>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74812416"/>
      <w:docPartObj>
        <w:docPartGallery w:val="autotext"/>
      </w:docPartObj>
    </w:sdtPr>
    <w:sdtContent>
      <w:p>
        <w:pPr>
          <w:pStyle w:val="8"/>
          <w:jc w:val="center"/>
        </w:pPr>
        <w:r>
          <w:fldChar w:fldCharType="begin"/>
        </w:r>
        <w:r>
          <w:instrText xml:space="preserve">PAGE   \* MERGEFORMAT</w:instrText>
        </w:r>
        <w:r>
          <w:fldChar w:fldCharType="separate"/>
        </w:r>
        <w:r>
          <w:rPr>
            <w:lang w:val="zh-CN"/>
          </w:rPr>
          <w:t>2</w:t>
        </w:r>
        <w:r>
          <w:fldChar w:fldCharType="end"/>
        </w:r>
      </w:p>
    </w:sdtContent>
  </w:sdt>
  <w:p>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B9C4A4"/>
    <w:multiLevelType w:val="multilevel"/>
    <w:tmpl w:val="82B9C4A4"/>
    <w:lvl w:ilvl="0" w:tentative="0">
      <w:start w:val="1"/>
      <w:numFmt w:val="decimal"/>
      <w:lvlText w:val="4.%1  "/>
      <w:lvlJc w:val="left"/>
      <w:pPr>
        <w:ind w:left="420" w:hanging="420"/>
      </w:pPr>
      <w:rPr>
        <w:rFonts w:hint="default" w:ascii="宋体" w:hAnsi="宋体" w:eastAsia="宋体" w:cs="宋体"/>
        <w:b/>
        <w:sz w:val="24"/>
        <w:szCs w:val="24"/>
      </w:rPr>
    </w:lvl>
    <w:lvl w:ilvl="1" w:tentative="0">
      <w:start w:val="1"/>
      <w:numFmt w:val="lowerLetter"/>
      <w:lvlText w:val="%2)"/>
      <w:lvlJc w:val="left"/>
      <w:pPr>
        <w:ind w:left="420" w:hanging="420"/>
      </w:pPr>
      <w:rPr>
        <w:rFonts w:hint="eastAsia"/>
      </w:rPr>
    </w:lvl>
    <w:lvl w:ilvl="2" w:tentative="0">
      <w:start w:val="1"/>
      <w:numFmt w:val="lowerRoman"/>
      <w:lvlText w:val="%3."/>
      <w:lvlJc w:val="right"/>
      <w:pPr>
        <w:ind w:left="840" w:hanging="420"/>
      </w:pPr>
      <w:rPr>
        <w:rFonts w:hint="eastAsia"/>
      </w:rPr>
    </w:lvl>
    <w:lvl w:ilvl="3" w:tentative="0">
      <w:start w:val="1"/>
      <w:numFmt w:val="decimal"/>
      <w:lvlText w:val="%4."/>
      <w:lvlJc w:val="left"/>
      <w:pPr>
        <w:ind w:left="1260" w:hanging="420"/>
      </w:pPr>
      <w:rPr>
        <w:rFonts w:hint="eastAsia"/>
      </w:rPr>
    </w:lvl>
    <w:lvl w:ilvl="4" w:tentative="0">
      <w:start w:val="1"/>
      <w:numFmt w:val="lowerLetter"/>
      <w:lvlText w:val="%5)"/>
      <w:lvlJc w:val="left"/>
      <w:pPr>
        <w:ind w:left="1680" w:hanging="420"/>
      </w:pPr>
      <w:rPr>
        <w:rFonts w:hint="eastAsia"/>
      </w:rPr>
    </w:lvl>
    <w:lvl w:ilvl="5" w:tentative="0">
      <w:start w:val="1"/>
      <w:numFmt w:val="lowerRoman"/>
      <w:lvlText w:val="%6."/>
      <w:lvlJc w:val="right"/>
      <w:pPr>
        <w:ind w:left="2100" w:hanging="420"/>
      </w:pPr>
      <w:rPr>
        <w:rFonts w:hint="eastAsia"/>
      </w:rPr>
    </w:lvl>
    <w:lvl w:ilvl="6" w:tentative="0">
      <w:start w:val="1"/>
      <w:numFmt w:val="decimal"/>
      <w:lvlText w:val="%7."/>
      <w:lvlJc w:val="left"/>
      <w:pPr>
        <w:ind w:left="2520" w:hanging="420"/>
      </w:pPr>
      <w:rPr>
        <w:rFonts w:hint="eastAsia"/>
      </w:rPr>
    </w:lvl>
    <w:lvl w:ilvl="7" w:tentative="0">
      <w:start w:val="1"/>
      <w:numFmt w:val="lowerLetter"/>
      <w:lvlText w:val="%8)"/>
      <w:lvlJc w:val="left"/>
      <w:pPr>
        <w:ind w:left="2940" w:hanging="420"/>
      </w:pPr>
      <w:rPr>
        <w:rFonts w:hint="eastAsia"/>
      </w:rPr>
    </w:lvl>
    <w:lvl w:ilvl="8" w:tentative="0">
      <w:start w:val="1"/>
      <w:numFmt w:val="lowerRoman"/>
      <w:lvlText w:val="%9."/>
      <w:lvlJc w:val="right"/>
      <w:pPr>
        <w:ind w:left="3360" w:hanging="420"/>
      </w:pPr>
      <w:rPr>
        <w:rFonts w:hint="eastAsia"/>
      </w:rPr>
    </w:lvl>
  </w:abstractNum>
  <w:abstractNum w:abstractNumId="1">
    <w:nsid w:val="8495AC61"/>
    <w:multiLevelType w:val="multilevel"/>
    <w:tmpl w:val="8495AC61"/>
    <w:lvl w:ilvl="0" w:tentative="0">
      <w:start w:val="1"/>
      <w:numFmt w:val="decimal"/>
      <w:lvlText w:val="2.%1  "/>
      <w:lvlJc w:val="left"/>
      <w:pPr>
        <w:ind w:left="420" w:hanging="420"/>
      </w:pPr>
      <w:rPr>
        <w:rFonts w:hint="default" w:ascii="宋体" w:hAnsi="宋体" w:eastAsia="宋体" w:cs="宋体"/>
        <w:b/>
        <w:sz w:val="24"/>
        <w:szCs w:val="24"/>
      </w:rPr>
    </w:lvl>
    <w:lvl w:ilvl="1" w:tentative="0">
      <w:start w:val="1"/>
      <w:numFmt w:val="lowerLetter"/>
      <w:lvlText w:val="%2)"/>
      <w:lvlJc w:val="left"/>
      <w:pPr>
        <w:ind w:left="420" w:hanging="420"/>
      </w:pPr>
      <w:rPr>
        <w:rFonts w:hint="eastAsia"/>
      </w:rPr>
    </w:lvl>
    <w:lvl w:ilvl="2" w:tentative="0">
      <w:start w:val="1"/>
      <w:numFmt w:val="lowerRoman"/>
      <w:lvlText w:val="%3."/>
      <w:lvlJc w:val="right"/>
      <w:pPr>
        <w:ind w:left="840" w:hanging="420"/>
      </w:pPr>
      <w:rPr>
        <w:rFonts w:hint="eastAsia"/>
      </w:rPr>
    </w:lvl>
    <w:lvl w:ilvl="3" w:tentative="0">
      <w:start w:val="1"/>
      <w:numFmt w:val="decimal"/>
      <w:lvlText w:val="%4."/>
      <w:lvlJc w:val="left"/>
      <w:pPr>
        <w:ind w:left="1260" w:hanging="420"/>
      </w:pPr>
      <w:rPr>
        <w:rFonts w:hint="eastAsia"/>
      </w:rPr>
    </w:lvl>
    <w:lvl w:ilvl="4" w:tentative="0">
      <w:start w:val="1"/>
      <w:numFmt w:val="lowerLetter"/>
      <w:lvlText w:val="%5)"/>
      <w:lvlJc w:val="left"/>
      <w:pPr>
        <w:ind w:left="1680" w:hanging="420"/>
      </w:pPr>
      <w:rPr>
        <w:rFonts w:hint="eastAsia"/>
      </w:rPr>
    </w:lvl>
    <w:lvl w:ilvl="5" w:tentative="0">
      <w:start w:val="1"/>
      <w:numFmt w:val="lowerRoman"/>
      <w:lvlText w:val="%6."/>
      <w:lvlJc w:val="right"/>
      <w:pPr>
        <w:ind w:left="2100" w:hanging="420"/>
      </w:pPr>
      <w:rPr>
        <w:rFonts w:hint="eastAsia"/>
      </w:rPr>
    </w:lvl>
    <w:lvl w:ilvl="6" w:tentative="0">
      <w:start w:val="1"/>
      <w:numFmt w:val="decimal"/>
      <w:lvlText w:val="%7."/>
      <w:lvlJc w:val="left"/>
      <w:pPr>
        <w:ind w:left="2520" w:hanging="420"/>
      </w:pPr>
      <w:rPr>
        <w:rFonts w:hint="eastAsia"/>
      </w:rPr>
    </w:lvl>
    <w:lvl w:ilvl="7" w:tentative="0">
      <w:start w:val="1"/>
      <w:numFmt w:val="lowerLetter"/>
      <w:lvlText w:val="%8)"/>
      <w:lvlJc w:val="left"/>
      <w:pPr>
        <w:ind w:left="2940" w:hanging="420"/>
      </w:pPr>
      <w:rPr>
        <w:rFonts w:hint="eastAsia"/>
      </w:rPr>
    </w:lvl>
    <w:lvl w:ilvl="8" w:tentative="0">
      <w:start w:val="1"/>
      <w:numFmt w:val="lowerRoman"/>
      <w:lvlText w:val="%9."/>
      <w:lvlJc w:val="right"/>
      <w:pPr>
        <w:ind w:left="3360" w:hanging="420"/>
      </w:pPr>
      <w:rPr>
        <w:rFonts w:hint="eastAsia"/>
      </w:rPr>
    </w:lvl>
  </w:abstractNum>
  <w:abstractNum w:abstractNumId="2">
    <w:nsid w:val="88059220"/>
    <w:multiLevelType w:val="multilevel"/>
    <w:tmpl w:val="88059220"/>
    <w:lvl w:ilvl="0" w:tentative="0">
      <w:start w:val="1"/>
      <w:numFmt w:val="decimal"/>
      <w:lvlText w:val="1.%1  "/>
      <w:lvlJc w:val="left"/>
      <w:pPr>
        <w:ind w:left="420" w:hanging="420"/>
      </w:pPr>
      <w:rPr>
        <w:rFonts w:hint="default" w:ascii="宋体" w:hAnsi="宋体" w:eastAsia="宋体" w:cs="宋体"/>
        <w:b/>
        <w:sz w:val="24"/>
        <w:szCs w:val="24"/>
      </w:rPr>
    </w:lvl>
    <w:lvl w:ilvl="1" w:tentative="0">
      <w:start w:val="1"/>
      <w:numFmt w:val="lowerLetter"/>
      <w:lvlText w:val="%2)"/>
      <w:lvlJc w:val="left"/>
      <w:pPr>
        <w:ind w:left="420" w:hanging="420"/>
      </w:pPr>
      <w:rPr>
        <w:rFonts w:hint="eastAsia"/>
      </w:rPr>
    </w:lvl>
    <w:lvl w:ilvl="2" w:tentative="0">
      <w:start w:val="1"/>
      <w:numFmt w:val="lowerRoman"/>
      <w:lvlText w:val="%3."/>
      <w:lvlJc w:val="right"/>
      <w:pPr>
        <w:ind w:left="840" w:hanging="420"/>
      </w:pPr>
      <w:rPr>
        <w:rFonts w:hint="eastAsia"/>
      </w:rPr>
    </w:lvl>
    <w:lvl w:ilvl="3" w:tentative="0">
      <w:start w:val="1"/>
      <w:numFmt w:val="decimal"/>
      <w:lvlText w:val="%4."/>
      <w:lvlJc w:val="left"/>
      <w:pPr>
        <w:ind w:left="1260" w:hanging="420"/>
      </w:pPr>
      <w:rPr>
        <w:rFonts w:hint="eastAsia"/>
      </w:rPr>
    </w:lvl>
    <w:lvl w:ilvl="4" w:tentative="0">
      <w:start w:val="1"/>
      <w:numFmt w:val="lowerLetter"/>
      <w:lvlText w:val="%5)"/>
      <w:lvlJc w:val="left"/>
      <w:pPr>
        <w:ind w:left="1680" w:hanging="420"/>
      </w:pPr>
      <w:rPr>
        <w:rFonts w:hint="eastAsia"/>
      </w:rPr>
    </w:lvl>
    <w:lvl w:ilvl="5" w:tentative="0">
      <w:start w:val="1"/>
      <w:numFmt w:val="lowerRoman"/>
      <w:lvlText w:val="%6."/>
      <w:lvlJc w:val="right"/>
      <w:pPr>
        <w:ind w:left="2100" w:hanging="420"/>
      </w:pPr>
      <w:rPr>
        <w:rFonts w:hint="eastAsia"/>
      </w:rPr>
    </w:lvl>
    <w:lvl w:ilvl="6" w:tentative="0">
      <w:start w:val="1"/>
      <w:numFmt w:val="decimal"/>
      <w:lvlText w:val="%7."/>
      <w:lvlJc w:val="left"/>
      <w:pPr>
        <w:ind w:left="2520" w:hanging="420"/>
      </w:pPr>
      <w:rPr>
        <w:rFonts w:hint="eastAsia"/>
      </w:rPr>
    </w:lvl>
    <w:lvl w:ilvl="7" w:tentative="0">
      <w:start w:val="1"/>
      <w:numFmt w:val="lowerLetter"/>
      <w:lvlText w:val="%8)"/>
      <w:lvlJc w:val="left"/>
      <w:pPr>
        <w:ind w:left="2940" w:hanging="420"/>
      </w:pPr>
      <w:rPr>
        <w:rFonts w:hint="eastAsia"/>
      </w:rPr>
    </w:lvl>
    <w:lvl w:ilvl="8" w:tentative="0">
      <w:start w:val="1"/>
      <w:numFmt w:val="lowerRoman"/>
      <w:lvlText w:val="%9."/>
      <w:lvlJc w:val="right"/>
      <w:pPr>
        <w:ind w:left="3360" w:hanging="420"/>
      </w:pPr>
      <w:rPr>
        <w:rFonts w:hint="eastAsia"/>
      </w:rPr>
    </w:lvl>
  </w:abstractNum>
  <w:abstractNum w:abstractNumId="3">
    <w:nsid w:val="89D9625A"/>
    <w:multiLevelType w:val="multilevel"/>
    <w:tmpl w:val="89D9625A"/>
    <w:lvl w:ilvl="0" w:tentative="0">
      <w:start w:val="1"/>
      <w:numFmt w:val="decimal"/>
      <w:lvlText w:val="9.%1  "/>
      <w:lvlJc w:val="left"/>
      <w:pPr>
        <w:ind w:left="420" w:hanging="420"/>
      </w:pPr>
      <w:rPr>
        <w:rFonts w:hint="default" w:ascii="宋体" w:hAnsi="宋体" w:eastAsia="宋体" w:cs="宋体"/>
        <w:sz w:val="24"/>
        <w:szCs w:val="24"/>
      </w:rPr>
    </w:lvl>
    <w:lvl w:ilvl="1" w:tentative="0">
      <w:start w:val="1"/>
      <w:numFmt w:val="lowerLetter"/>
      <w:lvlText w:val="%2)"/>
      <w:lvlJc w:val="left"/>
      <w:pPr>
        <w:ind w:left="420" w:hanging="420"/>
      </w:pPr>
      <w:rPr>
        <w:rFonts w:hint="eastAsia"/>
      </w:rPr>
    </w:lvl>
    <w:lvl w:ilvl="2" w:tentative="0">
      <w:start w:val="1"/>
      <w:numFmt w:val="lowerRoman"/>
      <w:lvlText w:val="%3."/>
      <w:lvlJc w:val="right"/>
      <w:pPr>
        <w:ind w:left="840" w:hanging="420"/>
      </w:pPr>
      <w:rPr>
        <w:rFonts w:hint="eastAsia"/>
      </w:rPr>
    </w:lvl>
    <w:lvl w:ilvl="3" w:tentative="0">
      <w:start w:val="1"/>
      <w:numFmt w:val="decimal"/>
      <w:lvlText w:val="%4."/>
      <w:lvlJc w:val="left"/>
      <w:pPr>
        <w:ind w:left="1260" w:hanging="420"/>
      </w:pPr>
      <w:rPr>
        <w:rFonts w:hint="eastAsia"/>
      </w:rPr>
    </w:lvl>
    <w:lvl w:ilvl="4" w:tentative="0">
      <w:start w:val="1"/>
      <w:numFmt w:val="lowerLetter"/>
      <w:lvlText w:val="%5)"/>
      <w:lvlJc w:val="left"/>
      <w:pPr>
        <w:ind w:left="1680" w:hanging="420"/>
      </w:pPr>
      <w:rPr>
        <w:rFonts w:hint="eastAsia"/>
      </w:rPr>
    </w:lvl>
    <w:lvl w:ilvl="5" w:tentative="0">
      <w:start w:val="1"/>
      <w:numFmt w:val="lowerRoman"/>
      <w:lvlText w:val="%6."/>
      <w:lvlJc w:val="right"/>
      <w:pPr>
        <w:ind w:left="2100" w:hanging="420"/>
      </w:pPr>
      <w:rPr>
        <w:rFonts w:hint="eastAsia"/>
      </w:rPr>
    </w:lvl>
    <w:lvl w:ilvl="6" w:tentative="0">
      <w:start w:val="1"/>
      <w:numFmt w:val="decimal"/>
      <w:lvlText w:val="%7."/>
      <w:lvlJc w:val="left"/>
      <w:pPr>
        <w:ind w:left="2520" w:hanging="420"/>
      </w:pPr>
      <w:rPr>
        <w:rFonts w:hint="eastAsia"/>
      </w:rPr>
    </w:lvl>
    <w:lvl w:ilvl="7" w:tentative="0">
      <w:start w:val="1"/>
      <w:numFmt w:val="lowerLetter"/>
      <w:lvlText w:val="%8)"/>
      <w:lvlJc w:val="left"/>
      <w:pPr>
        <w:ind w:left="2940" w:hanging="420"/>
      </w:pPr>
      <w:rPr>
        <w:rFonts w:hint="eastAsia"/>
      </w:rPr>
    </w:lvl>
    <w:lvl w:ilvl="8" w:tentative="0">
      <w:start w:val="1"/>
      <w:numFmt w:val="lowerRoman"/>
      <w:lvlText w:val="%9."/>
      <w:lvlJc w:val="right"/>
      <w:pPr>
        <w:ind w:left="3360" w:hanging="420"/>
      </w:pPr>
      <w:rPr>
        <w:rFonts w:hint="eastAsia"/>
      </w:rPr>
    </w:lvl>
  </w:abstractNum>
  <w:abstractNum w:abstractNumId="4">
    <w:nsid w:val="C2E60D25"/>
    <w:multiLevelType w:val="multilevel"/>
    <w:tmpl w:val="C2E60D25"/>
    <w:lvl w:ilvl="0" w:tentative="0">
      <w:start w:val="1"/>
      <w:numFmt w:val="decimal"/>
      <w:suff w:val="space"/>
      <w:lvlText w:val="%1 "/>
      <w:lvlJc w:val="center"/>
      <w:pPr>
        <w:ind w:left="840" w:hanging="420"/>
      </w:pPr>
      <w:rPr>
        <w:rFonts w:hint="eastAsia"/>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5">
    <w:nsid w:val="E5E3482D"/>
    <w:multiLevelType w:val="multilevel"/>
    <w:tmpl w:val="E5E3482D"/>
    <w:lvl w:ilvl="0" w:tentative="0">
      <w:start w:val="1"/>
      <w:numFmt w:val="decimal"/>
      <w:lvlText w:val="10.%1"/>
      <w:lvlJc w:val="left"/>
      <w:pPr>
        <w:ind w:left="420" w:hanging="420"/>
      </w:pPr>
      <w:rPr>
        <w:rFonts w:hint="default" w:ascii="宋体" w:hAnsi="宋体" w:eastAsia="宋体" w:cs="宋体"/>
        <w:sz w:val="24"/>
        <w:szCs w:val="24"/>
      </w:rPr>
    </w:lvl>
    <w:lvl w:ilvl="1" w:tentative="0">
      <w:start w:val="1"/>
      <w:numFmt w:val="lowerLetter"/>
      <w:lvlText w:val="%2)"/>
      <w:lvlJc w:val="left"/>
      <w:pPr>
        <w:ind w:left="420" w:hanging="420"/>
      </w:pPr>
      <w:rPr>
        <w:rFonts w:hint="eastAsia"/>
      </w:rPr>
    </w:lvl>
    <w:lvl w:ilvl="2" w:tentative="0">
      <w:start w:val="1"/>
      <w:numFmt w:val="lowerRoman"/>
      <w:lvlText w:val="%3."/>
      <w:lvlJc w:val="right"/>
      <w:pPr>
        <w:ind w:left="840" w:hanging="420"/>
      </w:pPr>
      <w:rPr>
        <w:rFonts w:hint="eastAsia"/>
      </w:rPr>
    </w:lvl>
    <w:lvl w:ilvl="3" w:tentative="0">
      <w:start w:val="1"/>
      <w:numFmt w:val="decimal"/>
      <w:lvlText w:val="%4."/>
      <w:lvlJc w:val="left"/>
      <w:pPr>
        <w:ind w:left="1260" w:hanging="420"/>
      </w:pPr>
      <w:rPr>
        <w:rFonts w:hint="eastAsia"/>
      </w:rPr>
    </w:lvl>
    <w:lvl w:ilvl="4" w:tentative="0">
      <w:start w:val="1"/>
      <w:numFmt w:val="lowerLetter"/>
      <w:lvlText w:val="%5)"/>
      <w:lvlJc w:val="left"/>
      <w:pPr>
        <w:ind w:left="1680" w:hanging="420"/>
      </w:pPr>
      <w:rPr>
        <w:rFonts w:hint="eastAsia"/>
      </w:rPr>
    </w:lvl>
    <w:lvl w:ilvl="5" w:tentative="0">
      <w:start w:val="1"/>
      <w:numFmt w:val="lowerRoman"/>
      <w:lvlText w:val="%6."/>
      <w:lvlJc w:val="right"/>
      <w:pPr>
        <w:ind w:left="2100" w:hanging="420"/>
      </w:pPr>
      <w:rPr>
        <w:rFonts w:hint="eastAsia"/>
      </w:rPr>
    </w:lvl>
    <w:lvl w:ilvl="6" w:tentative="0">
      <w:start w:val="1"/>
      <w:numFmt w:val="decimal"/>
      <w:lvlText w:val="%7."/>
      <w:lvlJc w:val="left"/>
      <w:pPr>
        <w:ind w:left="2520" w:hanging="420"/>
      </w:pPr>
      <w:rPr>
        <w:rFonts w:hint="eastAsia"/>
      </w:rPr>
    </w:lvl>
    <w:lvl w:ilvl="7" w:tentative="0">
      <w:start w:val="1"/>
      <w:numFmt w:val="lowerLetter"/>
      <w:lvlText w:val="%8)"/>
      <w:lvlJc w:val="left"/>
      <w:pPr>
        <w:ind w:left="2940" w:hanging="420"/>
      </w:pPr>
      <w:rPr>
        <w:rFonts w:hint="eastAsia"/>
      </w:rPr>
    </w:lvl>
    <w:lvl w:ilvl="8" w:tentative="0">
      <w:start w:val="1"/>
      <w:numFmt w:val="lowerRoman"/>
      <w:lvlText w:val="%9."/>
      <w:lvlJc w:val="right"/>
      <w:pPr>
        <w:ind w:left="3360" w:hanging="420"/>
      </w:pPr>
      <w:rPr>
        <w:rFonts w:hint="eastAsia"/>
      </w:rPr>
    </w:lvl>
  </w:abstractNum>
  <w:abstractNum w:abstractNumId="6">
    <w:nsid w:val="013745A5"/>
    <w:multiLevelType w:val="multilevel"/>
    <w:tmpl w:val="013745A5"/>
    <w:lvl w:ilvl="0" w:tentative="0">
      <w:start w:val="1"/>
      <w:numFmt w:val="decimal"/>
      <w:suff w:val="space"/>
      <w:lvlText w:val="%1 "/>
      <w:lvlJc w:val="center"/>
      <w:pPr>
        <w:ind w:left="840" w:hanging="420"/>
      </w:pPr>
      <w:rPr>
        <w:rFonts w:hint="eastAsia"/>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7">
    <w:nsid w:val="07DDCE3F"/>
    <w:multiLevelType w:val="multilevel"/>
    <w:tmpl w:val="07DDCE3F"/>
    <w:lvl w:ilvl="0" w:tentative="0">
      <w:start w:val="1"/>
      <w:numFmt w:val="decimal"/>
      <w:lvlText w:val="6.%1  "/>
      <w:lvlJc w:val="left"/>
      <w:pPr>
        <w:ind w:left="420" w:hanging="420"/>
      </w:pPr>
      <w:rPr>
        <w:rFonts w:hint="default" w:ascii="宋体" w:hAnsi="宋体" w:eastAsia="宋体" w:cs="宋体"/>
        <w:sz w:val="24"/>
        <w:szCs w:val="24"/>
      </w:rPr>
    </w:lvl>
    <w:lvl w:ilvl="1" w:tentative="0">
      <w:start w:val="1"/>
      <w:numFmt w:val="lowerLetter"/>
      <w:lvlText w:val="%2)"/>
      <w:lvlJc w:val="left"/>
      <w:pPr>
        <w:ind w:left="420" w:hanging="420"/>
      </w:pPr>
      <w:rPr>
        <w:rFonts w:hint="eastAsia"/>
      </w:rPr>
    </w:lvl>
    <w:lvl w:ilvl="2" w:tentative="0">
      <w:start w:val="1"/>
      <w:numFmt w:val="lowerRoman"/>
      <w:lvlText w:val="%3."/>
      <w:lvlJc w:val="right"/>
      <w:pPr>
        <w:ind w:left="840" w:hanging="420"/>
      </w:pPr>
      <w:rPr>
        <w:rFonts w:hint="eastAsia"/>
      </w:rPr>
    </w:lvl>
    <w:lvl w:ilvl="3" w:tentative="0">
      <w:start w:val="1"/>
      <w:numFmt w:val="decimal"/>
      <w:lvlText w:val="%4."/>
      <w:lvlJc w:val="left"/>
      <w:pPr>
        <w:ind w:left="1260" w:hanging="420"/>
      </w:pPr>
      <w:rPr>
        <w:rFonts w:hint="eastAsia"/>
      </w:rPr>
    </w:lvl>
    <w:lvl w:ilvl="4" w:tentative="0">
      <w:start w:val="1"/>
      <w:numFmt w:val="lowerLetter"/>
      <w:lvlText w:val="%5)"/>
      <w:lvlJc w:val="left"/>
      <w:pPr>
        <w:ind w:left="1680" w:hanging="420"/>
      </w:pPr>
      <w:rPr>
        <w:rFonts w:hint="eastAsia"/>
      </w:rPr>
    </w:lvl>
    <w:lvl w:ilvl="5" w:tentative="0">
      <w:start w:val="1"/>
      <w:numFmt w:val="lowerRoman"/>
      <w:lvlText w:val="%6."/>
      <w:lvlJc w:val="right"/>
      <w:pPr>
        <w:ind w:left="2100" w:hanging="420"/>
      </w:pPr>
      <w:rPr>
        <w:rFonts w:hint="eastAsia"/>
      </w:rPr>
    </w:lvl>
    <w:lvl w:ilvl="6" w:tentative="0">
      <w:start w:val="1"/>
      <w:numFmt w:val="decimal"/>
      <w:lvlText w:val="%7."/>
      <w:lvlJc w:val="left"/>
      <w:pPr>
        <w:ind w:left="2520" w:hanging="420"/>
      </w:pPr>
      <w:rPr>
        <w:rFonts w:hint="eastAsia"/>
      </w:rPr>
    </w:lvl>
    <w:lvl w:ilvl="7" w:tentative="0">
      <w:start w:val="1"/>
      <w:numFmt w:val="lowerLetter"/>
      <w:lvlText w:val="%8)"/>
      <w:lvlJc w:val="left"/>
      <w:pPr>
        <w:ind w:left="2940" w:hanging="420"/>
      </w:pPr>
      <w:rPr>
        <w:rFonts w:hint="eastAsia"/>
      </w:rPr>
    </w:lvl>
    <w:lvl w:ilvl="8" w:tentative="0">
      <w:start w:val="1"/>
      <w:numFmt w:val="lowerRoman"/>
      <w:lvlText w:val="%9."/>
      <w:lvlJc w:val="right"/>
      <w:pPr>
        <w:ind w:left="3360" w:hanging="420"/>
      </w:pPr>
      <w:rPr>
        <w:rFonts w:hint="eastAsia"/>
      </w:rPr>
    </w:lvl>
  </w:abstractNum>
  <w:abstractNum w:abstractNumId="8">
    <w:nsid w:val="0DF27343"/>
    <w:multiLevelType w:val="multilevel"/>
    <w:tmpl w:val="0DF27343"/>
    <w:lvl w:ilvl="0" w:tentative="0">
      <w:start w:val="1"/>
      <w:numFmt w:val="decimal"/>
      <w:lvlText w:val="7.%1  "/>
      <w:lvlJc w:val="left"/>
      <w:pPr>
        <w:ind w:left="420" w:hanging="420"/>
      </w:pPr>
      <w:rPr>
        <w:rFonts w:hint="default" w:ascii="宋体" w:hAnsi="宋体" w:eastAsia="宋体" w:cs="宋体"/>
        <w:sz w:val="24"/>
        <w:szCs w:val="24"/>
      </w:rPr>
    </w:lvl>
    <w:lvl w:ilvl="1" w:tentative="0">
      <w:start w:val="1"/>
      <w:numFmt w:val="lowerLetter"/>
      <w:lvlText w:val="%2)"/>
      <w:lvlJc w:val="left"/>
      <w:pPr>
        <w:ind w:left="420" w:hanging="420"/>
      </w:pPr>
      <w:rPr>
        <w:rFonts w:hint="eastAsia"/>
      </w:rPr>
    </w:lvl>
    <w:lvl w:ilvl="2" w:tentative="0">
      <w:start w:val="1"/>
      <w:numFmt w:val="lowerRoman"/>
      <w:lvlText w:val="%3."/>
      <w:lvlJc w:val="right"/>
      <w:pPr>
        <w:ind w:left="840" w:hanging="420"/>
      </w:pPr>
      <w:rPr>
        <w:rFonts w:hint="eastAsia"/>
      </w:rPr>
    </w:lvl>
    <w:lvl w:ilvl="3" w:tentative="0">
      <w:start w:val="1"/>
      <w:numFmt w:val="decimal"/>
      <w:lvlText w:val="%4."/>
      <w:lvlJc w:val="left"/>
      <w:pPr>
        <w:ind w:left="1260" w:hanging="420"/>
      </w:pPr>
      <w:rPr>
        <w:rFonts w:hint="eastAsia"/>
      </w:rPr>
    </w:lvl>
    <w:lvl w:ilvl="4" w:tentative="0">
      <w:start w:val="1"/>
      <w:numFmt w:val="lowerLetter"/>
      <w:lvlText w:val="%5)"/>
      <w:lvlJc w:val="left"/>
      <w:pPr>
        <w:ind w:left="1680" w:hanging="420"/>
      </w:pPr>
      <w:rPr>
        <w:rFonts w:hint="eastAsia"/>
      </w:rPr>
    </w:lvl>
    <w:lvl w:ilvl="5" w:tentative="0">
      <w:start w:val="1"/>
      <w:numFmt w:val="lowerRoman"/>
      <w:lvlText w:val="%6."/>
      <w:lvlJc w:val="right"/>
      <w:pPr>
        <w:ind w:left="2100" w:hanging="420"/>
      </w:pPr>
      <w:rPr>
        <w:rFonts w:hint="eastAsia"/>
      </w:rPr>
    </w:lvl>
    <w:lvl w:ilvl="6" w:tentative="0">
      <w:start w:val="1"/>
      <w:numFmt w:val="decimal"/>
      <w:lvlText w:val="%7."/>
      <w:lvlJc w:val="left"/>
      <w:pPr>
        <w:ind w:left="2520" w:hanging="420"/>
      </w:pPr>
      <w:rPr>
        <w:rFonts w:hint="eastAsia"/>
      </w:rPr>
    </w:lvl>
    <w:lvl w:ilvl="7" w:tentative="0">
      <w:start w:val="1"/>
      <w:numFmt w:val="lowerLetter"/>
      <w:lvlText w:val="%8)"/>
      <w:lvlJc w:val="left"/>
      <w:pPr>
        <w:ind w:left="2940" w:hanging="420"/>
      </w:pPr>
      <w:rPr>
        <w:rFonts w:hint="eastAsia"/>
      </w:rPr>
    </w:lvl>
    <w:lvl w:ilvl="8" w:tentative="0">
      <w:start w:val="1"/>
      <w:numFmt w:val="lowerRoman"/>
      <w:lvlText w:val="%9."/>
      <w:lvlJc w:val="right"/>
      <w:pPr>
        <w:ind w:left="3360" w:hanging="420"/>
      </w:pPr>
      <w:rPr>
        <w:rFonts w:hint="eastAsia"/>
      </w:rPr>
    </w:lvl>
  </w:abstractNum>
  <w:abstractNum w:abstractNumId="9">
    <w:nsid w:val="12027E0E"/>
    <w:multiLevelType w:val="multilevel"/>
    <w:tmpl w:val="12027E0E"/>
    <w:lvl w:ilvl="0" w:tentative="0">
      <w:start w:val="1"/>
      <w:numFmt w:val="decimal"/>
      <w:suff w:val="space"/>
      <w:lvlText w:val="%1 "/>
      <w:lvlJc w:val="center"/>
      <w:pPr>
        <w:ind w:left="840" w:hanging="420"/>
      </w:pPr>
      <w:rPr>
        <w:rFonts w:hint="default" w:ascii="宋体" w:hAnsi="宋体" w:eastAsia="宋体" w:cs="宋体"/>
        <w:sz w:val="24"/>
        <w:szCs w:val="24"/>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0">
    <w:nsid w:val="1D99257E"/>
    <w:multiLevelType w:val="multilevel"/>
    <w:tmpl w:val="1D99257E"/>
    <w:lvl w:ilvl="0" w:tentative="0">
      <w:start w:val="1"/>
      <w:numFmt w:val="decimal"/>
      <w:suff w:val="space"/>
      <w:lvlText w:val="%1 "/>
      <w:lvlJc w:val="center"/>
      <w:pPr>
        <w:ind w:left="840" w:hanging="420"/>
      </w:pPr>
      <w:rPr>
        <w:rFonts w:hint="eastAsia"/>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1">
    <w:nsid w:val="2000423F"/>
    <w:multiLevelType w:val="multilevel"/>
    <w:tmpl w:val="2000423F"/>
    <w:lvl w:ilvl="0" w:tentative="0">
      <w:start w:val="1"/>
      <w:numFmt w:val="decimal"/>
      <w:lvlText w:val="5.%1  "/>
      <w:lvlJc w:val="left"/>
      <w:pPr>
        <w:ind w:left="420" w:hanging="420"/>
      </w:pPr>
      <w:rPr>
        <w:rFonts w:hint="default" w:ascii="宋体" w:hAnsi="宋体" w:eastAsia="宋体" w:cs="宋体"/>
        <w:sz w:val="24"/>
        <w:szCs w:val="24"/>
      </w:rPr>
    </w:lvl>
    <w:lvl w:ilvl="1" w:tentative="0">
      <w:start w:val="1"/>
      <w:numFmt w:val="lowerLetter"/>
      <w:lvlText w:val="%2)"/>
      <w:lvlJc w:val="left"/>
      <w:pPr>
        <w:ind w:left="420" w:hanging="420"/>
      </w:pPr>
      <w:rPr>
        <w:rFonts w:hint="eastAsia"/>
      </w:rPr>
    </w:lvl>
    <w:lvl w:ilvl="2" w:tentative="0">
      <w:start w:val="1"/>
      <w:numFmt w:val="lowerRoman"/>
      <w:lvlText w:val="%3."/>
      <w:lvlJc w:val="right"/>
      <w:pPr>
        <w:ind w:left="840" w:hanging="420"/>
      </w:pPr>
      <w:rPr>
        <w:rFonts w:hint="eastAsia"/>
      </w:rPr>
    </w:lvl>
    <w:lvl w:ilvl="3" w:tentative="0">
      <w:start w:val="1"/>
      <w:numFmt w:val="decimal"/>
      <w:lvlText w:val="%4."/>
      <w:lvlJc w:val="left"/>
      <w:pPr>
        <w:ind w:left="1260" w:hanging="420"/>
      </w:pPr>
      <w:rPr>
        <w:rFonts w:hint="eastAsia"/>
      </w:rPr>
    </w:lvl>
    <w:lvl w:ilvl="4" w:tentative="0">
      <w:start w:val="1"/>
      <w:numFmt w:val="lowerLetter"/>
      <w:lvlText w:val="%5)"/>
      <w:lvlJc w:val="left"/>
      <w:pPr>
        <w:ind w:left="1680" w:hanging="420"/>
      </w:pPr>
      <w:rPr>
        <w:rFonts w:hint="eastAsia"/>
      </w:rPr>
    </w:lvl>
    <w:lvl w:ilvl="5" w:tentative="0">
      <w:start w:val="1"/>
      <w:numFmt w:val="lowerRoman"/>
      <w:lvlText w:val="%6."/>
      <w:lvlJc w:val="right"/>
      <w:pPr>
        <w:ind w:left="2100" w:hanging="420"/>
      </w:pPr>
      <w:rPr>
        <w:rFonts w:hint="eastAsia"/>
      </w:rPr>
    </w:lvl>
    <w:lvl w:ilvl="6" w:tentative="0">
      <w:start w:val="1"/>
      <w:numFmt w:val="decimal"/>
      <w:lvlText w:val="%7."/>
      <w:lvlJc w:val="left"/>
      <w:pPr>
        <w:ind w:left="2520" w:hanging="420"/>
      </w:pPr>
      <w:rPr>
        <w:rFonts w:hint="eastAsia"/>
      </w:rPr>
    </w:lvl>
    <w:lvl w:ilvl="7" w:tentative="0">
      <w:start w:val="1"/>
      <w:numFmt w:val="lowerLetter"/>
      <w:lvlText w:val="%8)"/>
      <w:lvlJc w:val="left"/>
      <w:pPr>
        <w:ind w:left="2940" w:hanging="420"/>
      </w:pPr>
      <w:rPr>
        <w:rFonts w:hint="eastAsia"/>
      </w:rPr>
    </w:lvl>
    <w:lvl w:ilvl="8" w:tentative="0">
      <w:start w:val="1"/>
      <w:numFmt w:val="lowerRoman"/>
      <w:lvlText w:val="%9."/>
      <w:lvlJc w:val="right"/>
      <w:pPr>
        <w:ind w:left="3360" w:hanging="420"/>
      </w:pPr>
      <w:rPr>
        <w:rFonts w:hint="eastAsia"/>
      </w:rPr>
    </w:lvl>
  </w:abstractNum>
  <w:abstractNum w:abstractNumId="12">
    <w:nsid w:val="21A616F0"/>
    <w:multiLevelType w:val="multilevel"/>
    <w:tmpl w:val="21A616F0"/>
    <w:lvl w:ilvl="0" w:tentative="0">
      <w:start w:val="1"/>
      <w:numFmt w:val="decimal"/>
      <w:suff w:val="space"/>
      <w:lvlText w:val="%1 "/>
      <w:lvlJc w:val="center"/>
      <w:pPr>
        <w:ind w:left="840" w:hanging="420"/>
      </w:pPr>
      <w:rPr>
        <w:rFonts w:hint="eastAsia"/>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3">
    <w:nsid w:val="2B905FF7"/>
    <w:multiLevelType w:val="multilevel"/>
    <w:tmpl w:val="2B905FF7"/>
    <w:lvl w:ilvl="0" w:tentative="0">
      <w:start w:val="1"/>
      <w:numFmt w:val="decimal"/>
      <w:suff w:val="space"/>
      <w:lvlText w:val="%1 "/>
      <w:lvlJc w:val="center"/>
      <w:pPr>
        <w:ind w:left="840" w:hanging="420"/>
      </w:pPr>
      <w:rPr>
        <w:rFonts w:hint="eastAsia"/>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4">
    <w:nsid w:val="3D651A8D"/>
    <w:multiLevelType w:val="multilevel"/>
    <w:tmpl w:val="3D651A8D"/>
    <w:lvl w:ilvl="0" w:tentative="0">
      <w:start w:val="1"/>
      <w:numFmt w:val="decimal"/>
      <w:suff w:val="space"/>
      <w:lvlText w:val="%1 "/>
      <w:lvlJc w:val="center"/>
      <w:pPr>
        <w:ind w:left="840" w:hanging="420"/>
      </w:pPr>
      <w:rPr>
        <w:rFonts w:hint="default" w:ascii="宋体" w:hAnsi="宋体" w:eastAsia="宋体" w:cs="宋体"/>
        <w:sz w:val="24"/>
        <w:szCs w:val="24"/>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2F954A8"/>
    <w:multiLevelType w:val="multilevel"/>
    <w:tmpl w:val="52F954A8"/>
    <w:lvl w:ilvl="0" w:tentative="0">
      <w:start w:val="1"/>
      <w:numFmt w:val="decimal"/>
      <w:suff w:val="space"/>
      <w:lvlText w:val="%1 "/>
      <w:lvlJc w:val="center"/>
      <w:pPr>
        <w:ind w:left="840" w:hanging="420"/>
      </w:pPr>
      <w:rPr>
        <w:rFonts w:hint="eastAsia"/>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6">
    <w:nsid w:val="58602D8D"/>
    <w:multiLevelType w:val="multilevel"/>
    <w:tmpl w:val="58602D8D"/>
    <w:lvl w:ilvl="0" w:tentative="0">
      <w:start w:val="1"/>
      <w:numFmt w:val="decimal"/>
      <w:suff w:val="space"/>
      <w:lvlText w:val="%1 "/>
      <w:lvlJc w:val="center"/>
      <w:pPr>
        <w:ind w:left="840" w:hanging="420"/>
      </w:pPr>
      <w:rPr>
        <w:rFonts w:hint="default" w:ascii="宋体" w:hAnsi="宋体" w:eastAsia="宋体" w:cs="宋体"/>
        <w:sz w:val="24"/>
        <w:szCs w:val="24"/>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7">
    <w:nsid w:val="59D6B84D"/>
    <w:multiLevelType w:val="multilevel"/>
    <w:tmpl w:val="59D6B84D"/>
    <w:lvl w:ilvl="0" w:tentative="0">
      <w:start w:val="1"/>
      <w:numFmt w:val="decimal"/>
      <w:lvlText w:val="8.%1  "/>
      <w:lvlJc w:val="left"/>
      <w:pPr>
        <w:ind w:left="420" w:hanging="420"/>
      </w:pPr>
      <w:rPr>
        <w:rFonts w:hint="default" w:ascii="宋体" w:hAnsi="宋体" w:eastAsia="宋体" w:cs="宋体"/>
        <w:sz w:val="24"/>
        <w:szCs w:val="24"/>
      </w:rPr>
    </w:lvl>
    <w:lvl w:ilvl="1" w:tentative="0">
      <w:start w:val="1"/>
      <w:numFmt w:val="lowerLetter"/>
      <w:lvlText w:val="%2)"/>
      <w:lvlJc w:val="left"/>
      <w:pPr>
        <w:ind w:left="420" w:hanging="420"/>
      </w:pPr>
      <w:rPr>
        <w:rFonts w:hint="eastAsia"/>
      </w:rPr>
    </w:lvl>
    <w:lvl w:ilvl="2" w:tentative="0">
      <w:start w:val="1"/>
      <w:numFmt w:val="lowerRoman"/>
      <w:lvlText w:val="%3."/>
      <w:lvlJc w:val="right"/>
      <w:pPr>
        <w:ind w:left="840" w:hanging="420"/>
      </w:pPr>
      <w:rPr>
        <w:rFonts w:hint="eastAsia"/>
      </w:rPr>
    </w:lvl>
    <w:lvl w:ilvl="3" w:tentative="0">
      <w:start w:val="1"/>
      <w:numFmt w:val="decimal"/>
      <w:lvlText w:val="%4."/>
      <w:lvlJc w:val="left"/>
      <w:pPr>
        <w:ind w:left="1260" w:hanging="420"/>
      </w:pPr>
      <w:rPr>
        <w:rFonts w:hint="eastAsia"/>
      </w:rPr>
    </w:lvl>
    <w:lvl w:ilvl="4" w:tentative="0">
      <w:start w:val="1"/>
      <w:numFmt w:val="lowerLetter"/>
      <w:lvlText w:val="%5)"/>
      <w:lvlJc w:val="left"/>
      <w:pPr>
        <w:ind w:left="1680" w:hanging="420"/>
      </w:pPr>
      <w:rPr>
        <w:rFonts w:hint="eastAsia"/>
      </w:rPr>
    </w:lvl>
    <w:lvl w:ilvl="5" w:tentative="0">
      <w:start w:val="1"/>
      <w:numFmt w:val="lowerRoman"/>
      <w:lvlText w:val="%6."/>
      <w:lvlJc w:val="right"/>
      <w:pPr>
        <w:ind w:left="2100" w:hanging="420"/>
      </w:pPr>
      <w:rPr>
        <w:rFonts w:hint="eastAsia"/>
      </w:rPr>
    </w:lvl>
    <w:lvl w:ilvl="6" w:tentative="0">
      <w:start w:val="1"/>
      <w:numFmt w:val="decimal"/>
      <w:lvlText w:val="%7."/>
      <w:lvlJc w:val="left"/>
      <w:pPr>
        <w:ind w:left="2520" w:hanging="420"/>
      </w:pPr>
      <w:rPr>
        <w:rFonts w:hint="eastAsia"/>
      </w:rPr>
    </w:lvl>
    <w:lvl w:ilvl="7" w:tentative="0">
      <w:start w:val="1"/>
      <w:numFmt w:val="lowerLetter"/>
      <w:lvlText w:val="%8)"/>
      <w:lvlJc w:val="left"/>
      <w:pPr>
        <w:ind w:left="2940" w:hanging="420"/>
      </w:pPr>
      <w:rPr>
        <w:rFonts w:hint="eastAsia"/>
      </w:rPr>
    </w:lvl>
    <w:lvl w:ilvl="8" w:tentative="0">
      <w:start w:val="1"/>
      <w:numFmt w:val="lowerRoman"/>
      <w:lvlText w:val="%9."/>
      <w:lvlJc w:val="right"/>
      <w:pPr>
        <w:ind w:left="3360" w:hanging="420"/>
      </w:pPr>
      <w:rPr>
        <w:rFonts w:hint="eastAsia"/>
      </w:rPr>
    </w:lvl>
  </w:abstractNum>
  <w:abstractNum w:abstractNumId="18">
    <w:nsid w:val="60F93C95"/>
    <w:multiLevelType w:val="multilevel"/>
    <w:tmpl w:val="60F93C95"/>
    <w:lvl w:ilvl="0" w:tentative="0">
      <w:start w:val="4"/>
      <w:numFmt w:val="decimal"/>
      <w:lvlText w:val="%1"/>
      <w:lvlJc w:val="left"/>
      <w:pPr>
        <w:ind w:left="480" w:hanging="480"/>
      </w:pPr>
      <w:rPr>
        <w:rFonts w:hint="default"/>
      </w:rPr>
    </w:lvl>
    <w:lvl w:ilvl="1" w:tentative="0">
      <w:start w:val="4"/>
      <w:numFmt w:val="decimal"/>
      <w:lvlText w:val="%1.%2"/>
      <w:lvlJc w:val="left"/>
      <w:pPr>
        <w:ind w:left="480" w:hanging="480"/>
      </w:pPr>
      <w:rPr>
        <w:rFonts w:hint="default"/>
      </w:rPr>
    </w:lvl>
    <w:lvl w:ilvl="2" w:tentative="0">
      <w:start w:val="1"/>
      <w:numFmt w:val="decimal"/>
      <w:lvlText w:val="3.%3  "/>
      <w:lvlJc w:val="left"/>
      <w:pPr>
        <w:ind w:left="720" w:hanging="720"/>
      </w:pPr>
      <w:rPr>
        <w:rFonts w:hint="default" w:ascii="宋体" w:hAnsi="宋体" w:eastAsia="宋体" w:cs="宋体"/>
        <w:b/>
        <w:sz w:val="24"/>
        <w:szCs w:val="24"/>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abstractNum w:abstractNumId="19">
    <w:nsid w:val="63DFA89C"/>
    <w:multiLevelType w:val="singleLevel"/>
    <w:tmpl w:val="63DFA89C"/>
    <w:lvl w:ilvl="0" w:tentative="0">
      <w:start w:val="1"/>
      <w:numFmt w:val="decimal"/>
      <w:lvlText w:val="%1  "/>
      <w:lvlJc w:val="left"/>
      <w:pPr>
        <w:tabs>
          <w:tab w:val="left" w:pos="420"/>
        </w:tabs>
        <w:ind w:left="425" w:hanging="425"/>
      </w:pPr>
      <w:rPr>
        <w:rFonts w:hint="default"/>
      </w:rPr>
    </w:lvl>
  </w:abstractNum>
  <w:abstractNum w:abstractNumId="20">
    <w:nsid w:val="684F6C8B"/>
    <w:multiLevelType w:val="multilevel"/>
    <w:tmpl w:val="684F6C8B"/>
    <w:lvl w:ilvl="0" w:tentative="0">
      <w:start w:val="1"/>
      <w:numFmt w:val="decimal"/>
      <w:lvlText w:val="%1"/>
      <w:lvlJc w:val="left"/>
      <w:pPr>
        <w:ind w:left="420" w:hanging="420"/>
      </w:pPr>
      <w:rPr>
        <w:rFonts w:hint="default" w:ascii="宋体" w:hAnsi="宋体" w:eastAsia="宋体" w:cs="宋体"/>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740A297B"/>
    <w:multiLevelType w:val="multilevel"/>
    <w:tmpl w:val="740A297B"/>
    <w:lvl w:ilvl="0" w:tentative="0">
      <w:start w:val="1"/>
      <w:numFmt w:val="decimal"/>
      <w:suff w:val="space"/>
      <w:lvlText w:val="%1 "/>
      <w:lvlJc w:val="center"/>
      <w:pPr>
        <w:ind w:left="840" w:hanging="420"/>
      </w:pPr>
      <w:rPr>
        <w:rFonts w:hint="default" w:ascii="宋体" w:hAnsi="宋体" w:eastAsia="宋体" w:cs="宋体"/>
        <w:sz w:val="24"/>
        <w:szCs w:val="24"/>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2">
    <w:nsid w:val="74330FBC"/>
    <w:multiLevelType w:val="multilevel"/>
    <w:tmpl w:val="74330FBC"/>
    <w:lvl w:ilvl="0" w:tentative="0">
      <w:start w:val="1"/>
      <w:numFmt w:val="decimal"/>
      <w:lvlText w:val="%1"/>
      <w:lvlJc w:val="left"/>
      <w:pPr>
        <w:ind w:left="420" w:hanging="420"/>
      </w:pPr>
      <w:rPr>
        <w:rFonts w:hint="default" w:ascii="宋体" w:hAnsi="宋体" w:eastAsia="宋体" w:cs="宋体"/>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76463A1A"/>
    <w:multiLevelType w:val="multilevel"/>
    <w:tmpl w:val="76463A1A"/>
    <w:lvl w:ilvl="0" w:tentative="0">
      <w:start w:val="1"/>
      <w:numFmt w:val="decimal"/>
      <w:suff w:val="space"/>
      <w:lvlText w:val="%1 "/>
      <w:lvlJc w:val="center"/>
      <w:pPr>
        <w:ind w:left="840" w:hanging="420"/>
      </w:pPr>
      <w:rPr>
        <w:rFonts w:hint="default" w:ascii="宋体" w:hAnsi="宋体" w:eastAsia="宋体" w:cs="宋体"/>
        <w:sz w:val="24"/>
        <w:szCs w:val="24"/>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4">
    <w:nsid w:val="7B6E7A6C"/>
    <w:multiLevelType w:val="multilevel"/>
    <w:tmpl w:val="7B6E7A6C"/>
    <w:lvl w:ilvl="0" w:tentative="0">
      <w:start w:val="1"/>
      <w:numFmt w:val="decimal"/>
      <w:suff w:val="space"/>
      <w:lvlText w:val="%1 "/>
      <w:lvlJc w:val="center"/>
      <w:pPr>
        <w:ind w:left="840" w:hanging="420"/>
      </w:pPr>
      <w:rPr>
        <w:rFonts w:hint="eastAsia"/>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5">
    <w:nsid w:val="7D5D0A78"/>
    <w:multiLevelType w:val="multilevel"/>
    <w:tmpl w:val="7D5D0A78"/>
    <w:lvl w:ilvl="0" w:tentative="0">
      <w:start w:val="1"/>
      <w:numFmt w:val="decimal"/>
      <w:suff w:val="space"/>
      <w:lvlText w:val="%1 "/>
      <w:lvlJc w:val="center"/>
      <w:pPr>
        <w:ind w:left="840" w:hanging="420"/>
      </w:pPr>
      <w:rPr>
        <w:rFonts w:hint="default" w:ascii="宋体" w:hAnsi="宋体" w:eastAsia="宋体" w:cs="宋体"/>
        <w:sz w:val="24"/>
        <w:szCs w:val="24"/>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num w:numId="1">
    <w:abstractNumId w:val="19"/>
  </w:num>
  <w:num w:numId="2">
    <w:abstractNumId w:val="2"/>
  </w:num>
  <w:num w:numId="3">
    <w:abstractNumId w:val="18"/>
  </w:num>
  <w:num w:numId="4">
    <w:abstractNumId w:val="20"/>
  </w:num>
  <w:num w:numId="5">
    <w:abstractNumId w:val="1"/>
  </w:num>
  <w:num w:numId="6">
    <w:abstractNumId w:val="22"/>
  </w:num>
  <w:num w:numId="7">
    <w:abstractNumId w:val="16"/>
  </w:num>
  <w:num w:numId="8">
    <w:abstractNumId w:val="0"/>
  </w:num>
  <w:num w:numId="9">
    <w:abstractNumId w:val="23"/>
  </w:num>
  <w:num w:numId="10">
    <w:abstractNumId w:val="11"/>
  </w:num>
  <w:num w:numId="11">
    <w:abstractNumId w:val="9"/>
  </w:num>
  <w:num w:numId="12">
    <w:abstractNumId w:val="7"/>
  </w:num>
  <w:num w:numId="13">
    <w:abstractNumId w:val="10"/>
  </w:num>
  <w:num w:numId="14">
    <w:abstractNumId w:val="14"/>
  </w:num>
  <w:num w:numId="15">
    <w:abstractNumId w:val="8"/>
  </w:num>
  <w:num w:numId="16">
    <w:abstractNumId w:val="24"/>
  </w:num>
  <w:num w:numId="17">
    <w:abstractNumId w:val="15"/>
  </w:num>
  <w:num w:numId="18">
    <w:abstractNumId w:val="4"/>
  </w:num>
  <w:num w:numId="19">
    <w:abstractNumId w:val="6"/>
  </w:num>
  <w:num w:numId="20">
    <w:abstractNumId w:val="12"/>
  </w:num>
  <w:num w:numId="21">
    <w:abstractNumId w:val="17"/>
  </w:num>
  <w:num w:numId="22">
    <w:abstractNumId w:val="13"/>
  </w:num>
  <w:num w:numId="23">
    <w:abstractNumId w:val="3"/>
  </w:num>
  <w:num w:numId="24">
    <w:abstractNumId w:val="5"/>
  </w:num>
  <w:num w:numId="25">
    <w:abstractNumId w:val="25"/>
  </w:num>
  <w:num w:numId="2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g5OWQ0MDQ1Y2YzYzY3MDBmMjlkMjIzNDcxOGNjZmUifQ=="/>
  </w:docVars>
  <w:rsids>
    <w:rsidRoot w:val="00AC48BC"/>
    <w:rsid w:val="00001349"/>
    <w:rsid w:val="00003046"/>
    <w:rsid w:val="000065B9"/>
    <w:rsid w:val="00006E6D"/>
    <w:rsid w:val="00012E2A"/>
    <w:rsid w:val="000136D0"/>
    <w:rsid w:val="00014C2D"/>
    <w:rsid w:val="00014D13"/>
    <w:rsid w:val="00014E8C"/>
    <w:rsid w:val="00017856"/>
    <w:rsid w:val="00020039"/>
    <w:rsid w:val="0002094B"/>
    <w:rsid w:val="00020AB8"/>
    <w:rsid w:val="00020CA1"/>
    <w:rsid w:val="00021211"/>
    <w:rsid w:val="00021BF7"/>
    <w:rsid w:val="0002278E"/>
    <w:rsid w:val="00022ED3"/>
    <w:rsid w:val="0002379D"/>
    <w:rsid w:val="00023C7E"/>
    <w:rsid w:val="00024213"/>
    <w:rsid w:val="0002523C"/>
    <w:rsid w:val="0003148B"/>
    <w:rsid w:val="000330CB"/>
    <w:rsid w:val="00033C31"/>
    <w:rsid w:val="00034504"/>
    <w:rsid w:val="00034D33"/>
    <w:rsid w:val="00036158"/>
    <w:rsid w:val="00036961"/>
    <w:rsid w:val="00037B98"/>
    <w:rsid w:val="00040934"/>
    <w:rsid w:val="00040A8F"/>
    <w:rsid w:val="00040C9D"/>
    <w:rsid w:val="00040CDE"/>
    <w:rsid w:val="0004126E"/>
    <w:rsid w:val="00041BEF"/>
    <w:rsid w:val="00042255"/>
    <w:rsid w:val="00042BFF"/>
    <w:rsid w:val="00042D57"/>
    <w:rsid w:val="00043066"/>
    <w:rsid w:val="00045254"/>
    <w:rsid w:val="00045C35"/>
    <w:rsid w:val="00046B02"/>
    <w:rsid w:val="00047E41"/>
    <w:rsid w:val="00050E87"/>
    <w:rsid w:val="00050F5B"/>
    <w:rsid w:val="00051C63"/>
    <w:rsid w:val="00051FA6"/>
    <w:rsid w:val="00052DA7"/>
    <w:rsid w:val="000542FC"/>
    <w:rsid w:val="000545E4"/>
    <w:rsid w:val="00054B8B"/>
    <w:rsid w:val="00054EB7"/>
    <w:rsid w:val="00055551"/>
    <w:rsid w:val="0006089B"/>
    <w:rsid w:val="0006111A"/>
    <w:rsid w:val="000612D6"/>
    <w:rsid w:val="00061F55"/>
    <w:rsid w:val="0006276D"/>
    <w:rsid w:val="00063FE0"/>
    <w:rsid w:val="000643BF"/>
    <w:rsid w:val="00064892"/>
    <w:rsid w:val="00065997"/>
    <w:rsid w:val="00066121"/>
    <w:rsid w:val="0006741E"/>
    <w:rsid w:val="00067E9A"/>
    <w:rsid w:val="000701BB"/>
    <w:rsid w:val="000701CB"/>
    <w:rsid w:val="000704B7"/>
    <w:rsid w:val="000719E2"/>
    <w:rsid w:val="00073903"/>
    <w:rsid w:val="00074044"/>
    <w:rsid w:val="000740B6"/>
    <w:rsid w:val="0007453B"/>
    <w:rsid w:val="000766F2"/>
    <w:rsid w:val="00077F1A"/>
    <w:rsid w:val="000805A0"/>
    <w:rsid w:val="00083041"/>
    <w:rsid w:val="00083182"/>
    <w:rsid w:val="00083CAA"/>
    <w:rsid w:val="00085865"/>
    <w:rsid w:val="00087631"/>
    <w:rsid w:val="00087ACC"/>
    <w:rsid w:val="000907E2"/>
    <w:rsid w:val="00090A8B"/>
    <w:rsid w:val="00090B35"/>
    <w:rsid w:val="0009278F"/>
    <w:rsid w:val="00092A86"/>
    <w:rsid w:val="000937CB"/>
    <w:rsid w:val="00095552"/>
    <w:rsid w:val="0009648B"/>
    <w:rsid w:val="00096843"/>
    <w:rsid w:val="00097874"/>
    <w:rsid w:val="00097C61"/>
    <w:rsid w:val="000A1F26"/>
    <w:rsid w:val="000A2911"/>
    <w:rsid w:val="000A2BF9"/>
    <w:rsid w:val="000A42B6"/>
    <w:rsid w:val="000A5503"/>
    <w:rsid w:val="000A7014"/>
    <w:rsid w:val="000A7A9F"/>
    <w:rsid w:val="000A7E4F"/>
    <w:rsid w:val="000A7F64"/>
    <w:rsid w:val="000B06D5"/>
    <w:rsid w:val="000B2714"/>
    <w:rsid w:val="000B6BAE"/>
    <w:rsid w:val="000B7227"/>
    <w:rsid w:val="000B795D"/>
    <w:rsid w:val="000B7C0B"/>
    <w:rsid w:val="000B7CE3"/>
    <w:rsid w:val="000C090B"/>
    <w:rsid w:val="000C1074"/>
    <w:rsid w:val="000C3735"/>
    <w:rsid w:val="000C66FF"/>
    <w:rsid w:val="000D0142"/>
    <w:rsid w:val="000D03CA"/>
    <w:rsid w:val="000D0CF7"/>
    <w:rsid w:val="000D1AF5"/>
    <w:rsid w:val="000D27F6"/>
    <w:rsid w:val="000D309D"/>
    <w:rsid w:val="000D323F"/>
    <w:rsid w:val="000D3826"/>
    <w:rsid w:val="000E0E14"/>
    <w:rsid w:val="000E205B"/>
    <w:rsid w:val="000E3438"/>
    <w:rsid w:val="000E4256"/>
    <w:rsid w:val="000E4E05"/>
    <w:rsid w:val="000E6476"/>
    <w:rsid w:val="000E70F6"/>
    <w:rsid w:val="000F2DD9"/>
    <w:rsid w:val="000F5D29"/>
    <w:rsid w:val="000F5F58"/>
    <w:rsid w:val="000F7581"/>
    <w:rsid w:val="00101CAE"/>
    <w:rsid w:val="00103164"/>
    <w:rsid w:val="00103F19"/>
    <w:rsid w:val="00104918"/>
    <w:rsid w:val="00104D4D"/>
    <w:rsid w:val="00104FC5"/>
    <w:rsid w:val="001058B3"/>
    <w:rsid w:val="00106306"/>
    <w:rsid w:val="00106C07"/>
    <w:rsid w:val="00107263"/>
    <w:rsid w:val="00107F09"/>
    <w:rsid w:val="001106CF"/>
    <w:rsid w:val="00111210"/>
    <w:rsid w:val="00112630"/>
    <w:rsid w:val="00112BBA"/>
    <w:rsid w:val="001134E6"/>
    <w:rsid w:val="001138CF"/>
    <w:rsid w:val="0011657B"/>
    <w:rsid w:val="00116804"/>
    <w:rsid w:val="00120693"/>
    <w:rsid w:val="001215C8"/>
    <w:rsid w:val="00121D24"/>
    <w:rsid w:val="00122096"/>
    <w:rsid w:val="001222EE"/>
    <w:rsid w:val="00122411"/>
    <w:rsid w:val="001230C8"/>
    <w:rsid w:val="00123279"/>
    <w:rsid w:val="001239F1"/>
    <w:rsid w:val="00124599"/>
    <w:rsid w:val="00127859"/>
    <w:rsid w:val="0013006C"/>
    <w:rsid w:val="00130D5B"/>
    <w:rsid w:val="001310BA"/>
    <w:rsid w:val="001316E5"/>
    <w:rsid w:val="001321BB"/>
    <w:rsid w:val="0013593D"/>
    <w:rsid w:val="00135F3D"/>
    <w:rsid w:val="001364E5"/>
    <w:rsid w:val="00140379"/>
    <w:rsid w:val="0014112B"/>
    <w:rsid w:val="00141507"/>
    <w:rsid w:val="00142F75"/>
    <w:rsid w:val="001443A1"/>
    <w:rsid w:val="001443DC"/>
    <w:rsid w:val="00145843"/>
    <w:rsid w:val="00146AAC"/>
    <w:rsid w:val="00146CAA"/>
    <w:rsid w:val="00147B23"/>
    <w:rsid w:val="001507E4"/>
    <w:rsid w:val="00150C95"/>
    <w:rsid w:val="001513C3"/>
    <w:rsid w:val="001523B8"/>
    <w:rsid w:val="001525CD"/>
    <w:rsid w:val="00152F66"/>
    <w:rsid w:val="001557CD"/>
    <w:rsid w:val="0015616D"/>
    <w:rsid w:val="00157A8F"/>
    <w:rsid w:val="00157B0C"/>
    <w:rsid w:val="00160941"/>
    <w:rsid w:val="00161965"/>
    <w:rsid w:val="00161A12"/>
    <w:rsid w:val="00162398"/>
    <w:rsid w:val="00162FF9"/>
    <w:rsid w:val="00163474"/>
    <w:rsid w:val="001659BE"/>
    <w:rsid w:val="00165B72"/>
    <w:rsid w:val="00167572"/>
    <w:rsid w:val="0016771C"/>
    <w:rsid w:val="00167822"/>
    <w:rsid w:val="0017021E"/>
    <w:rsid w:val="00170226"/>
    <w:rsid w:val="00170591"/>
    <w:rsid w:val="00172886"/>
    <w:rsid w:val="00173D45"/>
    <w:rsid w:val="00176322"/>
    <w:rsid w:val="001772F6"/>
    <w:rsid w:val="001806A9"/>
    <w:rsid w:val="00180C25"/>
    <w:rsid w:val="00181325"/>
    <w:rsid w:val="00183484"/>
    <w:rsid w:val="001857E0"/>
    <w:rsid w:val="00186318"/>
    <w:rsid w:val="00187618"/>
    <w:rsid w:val="0019136A"/>
    <w:rsid w:val="00191F35"/>
    <w:rsid w:val="0019313E"/>
    <w:rsid w:val="00194160"/>
    <w:rsid w:val="00195BEB"/>
    <w:rsid w:val="00195F33"/>
    <w:rsid w:val="00196505"/>
    <w:rsid w:val="001A0DC6"/>
    <w:rsid w:val="001A2680"/>
    <w:rsid w:val="001A2860"/>
    <w:rsid w:val="001A2F82"/>
    <w:rsid w:val="001A3258"/>
    <w:rsid w:val="001A372C"/>
    <w:rsid w:val="001A3A80"/>
    <w:rsid w:val="001A456D"/>
    <w:rsid w:val="001A4B20"/>
    <w:rsid w:val="001A6AA4"/>
    <w:rsid w:val="001B1AAF"/>
    <w:rsid w:val="001B1CEB"/>
    <w:rsid w:val="001B2ABE"/>
    <w:rsid w:val="001B2F45"/>
    <w:rsid w:val="001B307A"/>
    <w:rsid w:val="001B35E5"/>
    <w:rsid w:val="001B39A1"/>
    <w:rsid w:val="001B4379"/>
    <w:rsid w:val="001B47AE"/>
    <w:rsid w:val="001B4842"/>
    <w:rsid w:val="001B55B3"/>
    <w:rsid w:val="001B5720"/>
    <w:rsid w:val="001B5763"/>
    <w:rsid w:val="001C27BB"/>
    <w:rsid w:val="001C2E29"/>
    <w:rsid w:val="001C4108"/>
    <w:rsid w:val="001D0DDB"/>
    <w:rsid w:val="001D0FF6"/>
    <w:rsid w:val="001D16F8"/>
    <w:rsid w:val="001D31E0"/>
    <w:rsid w:val="001D36AA"/>
    <w:rsid w:val="001D3FDC"/>
    <w:rsid w:val="001D6230"/>
    <w:rsid w:val="001D6CFE"/>
    <w:rsid w:val="001D73A7"/>
    <w:rsid w:val="001D7813"/>
    <w:rsid w:val="001E21E8"/>
    <w:rsid w:val="001E22B7"/>
    <w:rsid w:val="001E2338"/>
    <w:rsid w:val="001E43E0"/>
    <w:rsid w:val="001E46B5"/>
    <w:rsid w:val="001E4781"/>
    <w:rsid w:val="001E6CBE"/>
    <w:rsid w:val="001F0205"/>
    <w:rsid w:val="001F0339"/>
    <w:rsid w:val="001F097E"/>
    <w:rsid w:val="001F09F7"/>
    <w:rsid w:val="001F1681"/>
    <w:rsid w:val="001F2527"/>
    <w:rsid w:val="001F449A"/>
    <w:rsid w:val="001F47E1"/>
    <w:rsid w:val="001F5983"/>
    <w:rsid w:val="001F78E9"/>
    <w:rsid w:val="00200CDC"/>
    <w:rsid w:val="00203851"/>
    <w:rsid w:val="00207971"/>
    <w:rsid w:val="00207DC3"/>
    <w:rsid w:val="00210D70"/>
    <w:rsid w:val="00210E1B"/>
    <w:rsid w:val="002116F9"/>
    <w:rsid w:val="00211A0B"/>
    <w:rsid w:val="002154AE"/>
    <w:rsid w:val="002166BB"/>
    <w:rsid w:val="0021680D"/>
    <w:rsid w:val="002177B6"/>
    <w:rsid w:val="00217CD7"/>
    <w:rsid w:val="00220E01"/>
    <w:rsid w:val="00222533"/>
    <w:rsid w:val="00225F72"/>
    <w:rsid w:val="00226294"/>
    <w:rsid w:val="00226602"/>
    <w:rsid w:val="00230E80"/>
    <w:rsid w:val="002324DC"/>
    <w:rsid w:val="002333FD"/>
    <w:rsid w:val="00234FC2"/>
    <w:rsid w:val="00235326"/>
    <w:rsid w:val="00240C2A"/>
    <w:rsid w:val="00244913"/>
    <w:rsid w:val="0024514B"/>
    <w:rsid w:val="0024794D"/>
    <w:rsid w:val="00247D01"/>
    <w:rsid w:val="00250AD8"/>
    <w:rsid w:val="00250D35"/>
    <w:rsid w:val="00253513"/>
    <w:rsid w:val="002539CE"/>
    <w:rsid w:val="00253F4C"/>
    <w:rsid w:val="002558C5"/>
    <w:rsid w:val="00256269"/>
    <w:rsid w:val="0026026C"/>
    <w:rsid w:val="002633D3"/>
    <w:rsid w:val="002646A6"/>
    <w:rsid w:val="0026492F"/>
    <w:rsid w:val="00264A16"/>
    <w:rsid w:val="00266357"/>
    <w:rsid w:val="00267456"/>
    <w:rsid w:val="002733AF"/>
    <w:rsid w:val="00274FFF"/>
    <w:rsid w:val="00277A73"/>
    <w:rsid w:val="002809F7"/>
    <w:rsid w:val="00281CDA"/>
    <w:rsid w:val="0028325A"/>
    <w:rsid w:val="00283894"/>
    <w:rsid w:val="00287B1C"/>
    <w:rsid w:val="00290621"/>
    <w:rsid w:val="002906E9"/>
    <w:rsid w:val="00291BFD"/>
    <w:rsid w:val="002926D6"/>
    <w:rsid w:val="002942BC"/>
    <w:rsid w:val="00297AC2"/>
    <w:rsid w:val="00297CAA"/>
    <w:rsid w:val="002A0D03"/>
    <w:rsid w:val="002A0D3F"/>
    <w:rsid w:val="002A4586"/>
    <w:rsid w:val="002A5424"/>
    <w:rsid w:val="002A68F7"/>
    <w:rsid w:val="002B1392"/>
    <w:rsid w:val="002B26CE"/>
    <w:rsid w:val="002B32C5"/>
    <w:rsid w:val="002B35A9"/>
    <w:rsid w:val="002B4683"/>
    <w:rsid w:val="002B494C"/>
    <w:rsid w:val="002B5024"/>
    <w:rsid w:val="002B59F1"/>
    <w:rsid w:val="002B6598"/>
    <w:rsid w:val="002B6720"/>
    <w:rsid w:val="002B6B9F"/>
    <w:rsid w:val="002B79B5"/>
    <w:rsid w:val="002C1B77"/>
    <w:rsid w:val="002C50A7"/>
    <w:rsid w:val="002C530D"/>
    <w:rsid w:val="002C63FC"/>
    <w:rsid w:val="002C6C94"/>
    <w:rsid w:val="002D32EC"/>
    <w:rsid w:val="002D4606"/>
    <w:rsid w:val="002D5DE8"/>
    <w:rsid w:val="002E0148"/>
    <w:rsid w:val="002E07D7"/>
    <w:rsid w:val="002E209C"/>
    <w:rsid w:val="002E3F3A"/>
    <w:rsid w:val="002E4150"/>
    <w:rsid w:val="002E425B"/>
    <w:rsid w:val="002E4EA2"/>
    <w:rsid w:val="002E4F50"/>
    <w:rsid w:val="002E6C3F"/>
    <w:rsid w:val="002F2B0C"/>
    <w:rsid w:val="002F3293"/>
    <w:rsid w:val="002F3393"/>
    <w:rsid w:val="002F3C04"/>
    <w:rsid w:val="002F4F4D"/>
    <w:rsid w:val="002F53D7"/>
    <w:rsid w:val="002F6FDC"/>
    <w:rsid w:val="002F7A8D"/>
    <w:rsid w:val="003005D3"/>
    <w:rsid w:val="00301299"/>
    <w:rsid w:val="0030308D"/>
    <w:rsid w:val="00304E5A"/>
    <w:rsid w:val="0030749C"/>
    <w:rsid w:val="0031130E"/>
    <w:rsid w:val="00313B6E"/>
    <w:rsid w:val="00315058"/>
    <w:rsid w:val="00315E5F"/>
    <w:rsid w:val="003168FB"/>
    <w:rsid w:val="00316945"/>
    <w:rsid w:val="003178C7"/>
    <w:rsid w:val="00317AD7"/>
    <w:rsid w:val="00317ED4"/>
    <w:rsid w:val="00322481"/>
    <w:rsid w:val="00323A4E"/>
    <w:rsid w:val="00324B70"/>
    <w:rsid w:val="0032569A"/>
    <w:rsid w:val="00326355"/>
    <w:rsid w:val="00326B3A"/>
    <w:rsid w:val="0032722D"/>
    <w:rsid w:val="00327EE2"/>
    <w:rsid w:val="0033197F"/>
    <w:rsid w:val="00332ABD"/>
    <w:rsid w:val="003338A0"/>
    <w:rsid w:val="003338E2"/>
    <w:rsid w:val="0033766F"/>
    <w:rsid w:val="003377AC"/>
    <w:rsid w:val="003420D9"/>
    <w:rsid w:val="003439DC"/>
    <w:rsid w:val="00347063"/>
    <w:rsid w:val="00351212"/>
    <w:rsid w:val="00353ED4"/>
    <w:rsid w:val="00355B03"/>
    <w:rsid w:val="003569D1"/>
    <w:rsid w:val="00356F5E"/>
    <w:rsid w:val="003572AE"/>
    <w:rsid w:val="003602A6"/>
    <w:rsid w:val="00360F0F"/>
    <w:rsid w:val="00361357"/>
    <w:rsid w:val="00363D97"/>
    <w:rsid w:val="00364E1F"/>
    <w:rsid w:val="00366431"/>
    <w:rsid w:val="00367B15"/>
    <w:rsid w:val="00367B91"/>
    <w:rsid w:val="00370B3C"/>
    <w:rsid w:val="0037258A"/>
    <w:rsid w:val="003758B5"/>
    <w:rsid w:val="00380245"/>
    <w:rsid w:val="003835F1"/>
    <w:rsid w:val="00383EEB"/>
    <w:rsid w:val="00384264"/>
    <w:rsid w:val="00385330"/>
    <w:rsid w:val="00387EDF"/>
    <w:rsid w:val="00392247"/>
    <w:rsid w:val="0039240F"/>
    <w:rsid w:val="00392757"/>
    <w:rsid w:val="003950A9"/>
    <w:rsid w:val="003A18FB"/>
    <w:rsid w:val="003A2049"/>
    <w:rsid w:val="003A4432"/>
    <w:rsid w:val="003A5663"/>
    <w:rsid w:val="003A65ED"/>
    <w:rsid w:val="003A67FC"/>
    <w:rsid w:val="003A72F2"/>
    <w:rsid w:val="003B1AA6"/>
    <w:rsid w:val="003B283F"/>
    <w:rsid w:val="003B53BF"/>
    <w:rsid w:val="003B5C1E"/>
    <w:rsid w:val="003B5C26"/>
    <w:rsid w:val="003B6EC8"/>
    <w:rsid w:val="003C02D0"/>
    <w:rsid w:val="003C0E99"/>
    <w:rsid w:val="003C12CE"/>
    <w:rsid w:val="003C16D5"/>
    <w:rsid w:val="003C1C30"/>
    <w:rsid w:val="003C2A0B"/>
    <w:rsid w:val="003C2B1B"/>
    <w:rsid w:val="003C312F"/>
    <w:rsid w:val="003C3272"/>
    <w:rsid w:val="003C3583"/>
    <w:rsid w:val="003C4281"/>
    <w:rsid w:val="003C4B4B"/>
    <w:rsid w:val="003C5247"/>
    <w:rsid w:val="003C54C3"/>
    <w:rsid w:val="003D1068"/>
    <w:rsid w:val="003D1419"/>
    <w:rsid w:val="003D1962"/>
    <w:rsid w:val="003D1A50"/>
    <w:rsid w:val="003D2607"/>
    <w:rsid w:val="003D3817"/>
    <w:rsid w:val="003D48DE"/>
    <w:rsid w:val="003D4929"/>
    <w:rsid w:val="003D74F2"/>
    <w:rsid w:val="003D75E8"/>
    <w:rsid w:val="003E1004"/>
    <w:rsid w:val="003E3BB8"/>
    <w:rsid w:val="003E4BBF"/>
    <w:rsid w:val="003E4C21"/>
    <w:rsid w:val="003E5116"/>
    <w:rsid w:val="003E5566"/>
    <w:rsid w:val="003E5C70"/>
    <w:rsid w:val="003E6474"/>
    <w:rsid w:val="003E6FA3"/>
    <w:rsid w:val="003E73C9"/>
    <w:rsid w:val="003F240F"/>
    <w:rsid w:val="003F4B57"/>
    <w:rsid w:val="003F5E85"/>
    <w:rsid w:val="003F6B1F"/>
    <w:rsid w:val="00402314"/>
    <w:rsid w:val="004025E2"/>
    <w:rsid w:val="00403199"/>
    <w:rsid w:val="00403CAA"/>
    <w:rsid w:val="00403F8B"/>
    <w:rsid w:val="00404742"/>
    <w:rsid w:val="00404C99"/>
    <w:rsid w:val="004061FD"/>
    <w:rsid w:val="00406841"/>
    <w:rsid w:val="0040691E"/>
    <w:rsid w:val="0040786B"/>
    <w:rsid w:val="0041087A"/>
    <w:rsid w:val="00410BD2"/>
    <w:rsid w:val="004115FC"/>
    <w:rsid w:val="00412705"/>
    <w:rsid w:val="00412C86"/>
    <w:rsid w:val="00414F1F"/>
    <w:rsid w:val="004151D9"/>
    <w:rsid w:val="004164EB"/>
    <w:rsid w:val="0041783F"/>
    <w:rsid w:val="00421190"/>
    <w:rsid w:val="004252B1"/>
    <w:rsid w:val="00426ECC"/>
    <w:rsid w:val="00432E76"/>
    <w:rsid w:val="004330E2"/>
    <w:rsid w:val="004342C7"/>
    <w:rsid w:val="004361FF"/>
    <w:rsid w:val="00436360"/>
    <w:rsid w:val="004368A4"/>
    <w:rsid w:val="0044259D"/>
    <w:rsid w:val="00442D49"/>
    <w:rsid w:val="00443626"/>
    <w:rsid w:val="00444637"/>
    <w:rsid w:val="00444A61"/>
    <w:rsid w:val="00444BB0"/>
    <w:rsid w:val="00445BD1"/>
    <w:rsid w:val="00446C3B"/>
    <w:rsid w:val="004476C9"/>
    <w:rsid w:val="0045193A"/>
    <w:rsid w:val="00453102"/>
    <w:rsid w:val="00454944"/>
    <w:rsid w:val="00455091"/>
    <w:rsid w:val="00457402"/>
    <w:rsid w:val="004619F0"/>
    <w:rsid w:val="00461EC4"/>
    <w:rsid w:val="004630C2"/>
    <w:rsid w:val="004633B6"/>
    <w:rsid w:val="00466865"/>
    <w:rsid w:val="004717ED"/>
    <w:rsid w:val="004719C4"/>
    <w:rsid w:val="0047279D"/>
    <w:rsid w:val="00472A4C"/>
    <w:rsid w:val="004740C4"/>
    <w:rsid w:val="00474EFF"/>
    <w:rsid w:val="004759DE"/>
    <w:rsid w:val="0047652F"/>
    <w:rsid w:val="00476C5E"/>
    <w:rsid w:val="004775B6"/>
    <w:rsid w:val="00480315"/>
    <w:rsid w:val="004805FC"/>
    <w:rsid w:val="004808A0"/>
    <w:rsid w:val="004816EE"/>
    <w:rsid w:val="00483BF9"/>
    <w:rsid w:val="0048472E"/>
    <w:rsid w:val="00484914"/>
    <w:rsid w:val="00484B64"/>
    <w:rsid w:val="00486E77"/>
    <w:rsid w:val="00487C59"/>
    <w:rsid w:val="00490132"/>
    <w:rsid w:val="00491EEB"/>
    <w:rsid w:val="0049298D"/>
    <w:rsid w:val="00493E0C"/>
    <w:rsid w:val="00494574"/>
    <w:rsid w:val="00497765"/>
    <w:rsid w:val="004A142D"/>
    <w:rsid w:val="004A3831"/>
    <w:rsid w:val="004A4060"/>
    <w:rsid w:val="004A5D20"/>
    <w:rsid w:val="004B0390"/>
    <w:rsid w:val="004B0BD2"/>
    <w:rsid w:val="004B0CE8"/>
    <w:rsid w:val="004B124C"/>
    <w:rsid w:val="004B16A3"/>
    <w:rsid w:val="004B1AB5"/>
    <w:rsid w:val="004B271D"/>
    <w:rsid w:val="004B28F2"/>
    <w:rsid w:val="004B29A1"/>
    <w:rsid w:val="004B2D8A"/>
    <w:rsid w:val="004B30D8"/>
    <w:rsid w:val="004B3591"/>
    <w:rsid w:val="004B39A4"/>
    <w:rsid w:val="004B406B"/>
    <w:rsid w:val="004B4B3D"/>
    <w:rsid w:val="004B594B"/>
    <w:rsid w:val="004B6633"/>
    <w:rsid w:val="004C3B76"/>
    <w:rsid w:val="004C4043"/>
    <w:rsid w:val="004C5474"/>
    <w:rsid w:val="004C5632"/>
    <w:rsid w:val="004C7B3A"/>
    <w:rsid w:val="004D1CCB"/>
    <w:rsid w:val="004D2759"/>
    <w:rsid w:val="004D2ECE"/>
    <w:rsid w:val="004D510F"/>
    <w:rsid w:val="004D6613"/>
    <w:rsid w:val="004D7C80"/>
    <w:rsid w:val="004E1904"/>
    <w:rsid w:val="004E1BF5"/>
    <w:rsid w:val="004E1ECF"/>
    <w:rsid w:val="004E477A"/>
    <w:rsid w:val="004E77D1"/>
    <w:rsid w:val="004F3055"/>
    <w:rsid w:val="004F423D"/>
    <w:rsid w:val="004F49FC"/>
    <w:rsid w:val="004F5A6A"/>
    <w:rsid w:val="0050221D"/>
    <w:rsid w:val="00502510"/>
    <w:rsid w:val="0050276D"/>
    <w:rsid w:val="00502E90"/>
    <w:rsid w:val="00503152"/>
    <w:rsid w:val="00504BFC"/>
    <w:rsid w:val="00507A22"/>
    <w:rsid w:val="00510309"/>
    <w:rsid w:val="00510516"/>
    <w:rsid w:val="00513AC9"/>
    <w:rsid w:val="00517857"/>
    <w:rsid w:val="00521521"/>
    <w:rsid w:val="005215CA"/>
    <w:rsid w:val="00522C50"/>
    <w:rsid w:val="005240B8"/>
    <w:rsid w:val="00524D1E"/>
    <w:rsid w:val="005277E7"/>
    <w:rsid w:val="00527844"/>
    <w:rsid w:val="005278D2"/>
    <w:rsid w:val="00530BC3"/>
    <w:rsid w:val="00530D72"/>
    <w:rsid w:val="00533414"/>
    <w:rsid w:val="00533F5F"/>
    <w:rsid w:val="00535BD2"/>
    <w:rsid w:val="00535CA8"/>
    <w:rsid w:val="00537B35"/>
    <w:rsid w:val="00537CF0"/>
    <w:rsid w:val="005400F4"/>
    <w:rsid w:val="00541BF2"/>
    <w:rsid w:val="00541D24"/>
    <w:rsid w:val="00542459"/>
    <w:rsid w:val="005433CB"/>
    <w:rsid w:val="005436B0"/>
    <w:rsid w:val="00543F91"/>
    <w:rsid w:val="00544464"/>
    <w:rsid w:val="00545C57"/>
    <w:rsid w:val="0055165F"/>
    <w:rsid w:val="0055438B"/>
    <w:rsid w:val="005557C9"/>
    <w:rsid w:val="00556BF9"/>
    <w:rsid w:val="005578F9"/>
    <w:rsid w:val="00557925"/>
    <w:rsid w:val="00561324"/>
    <w:rsid w:val="005625C5"/>
    <w:rsid w:val="00563744"/>
    <w:rsid w:val="00563E00"/>
    <w:rsid w:val="00564D16"/>
    <w:rsid w:val="00566895"/>
    <w:rsid w:val="005668D1"/>
    <w:rsid w:val="005669C5"/>
    <w:rsid w:val="00570535"/>
    <w:rsid w:val="00570BFF"/>
    <w:rsid w:val="00571BD5"/>
    <w:rsid w:val="00571EEE"/>
    <w:rsid w:val="00573D7F"/>
    <w:rsid w:val="00574CB8"/>
    <w:rsid w:val="00580548"/>
    <w:rsid w:val="005823C2"/>
    <w:rsid w:val="005824E5"/>
    <w:rsid w:val="00584E76"/>
    <w:rsid w:val="00585B55"/>
    <w:rsid w:val="005909CD"/>
    <w:rsid w:val="00590FC7"/>
    <w:rsid w:val="0059193E"/>
    <w:rsid w:val="00591CAE"/>
    <w:rsid w:val="00592C35"/>
    <w:rsid w:val="00593256"/>
    <w:rsid w:val="005941A2"/>
    <w:rsid w:val="00594969"/>
    <w:rsid w:val="00596E92"/>
    <w:rsid w:val="005A04EF"/>
    <w:rsid w:val="005A0FC7"/>
    <w:rsid w:val="005A4FC4"/>
    <w:rsid w:val="005A5046"/>
    <w:rsid w:val="005A56A4"/>
    <w:rsid w:val="005A5988"/>
    <w:rsid w:val="005B0378"/>
    <w:rsid w:val="005B0F97"/>
    <w:rsid w:val="005B12F7"/>
    <w:rsid w:val="005B257B"/>
    <w:rsid w:val="005B35F1"/>
    <w:rsid w:val="005B3A13"/>
    <w:rsid w:val="005B452B"/>
    <w:rsid w:val="005C05E7"/>
    <w:rsid w:val="005C105E"/>
    <w:rsid w:val="005C2CD5"/>
    <w:rsid w:val="005C37A4"/>
    <w:rsid w:val="005C5323"/>
    <w:rsid w:val="005C5ECF"/>
    <w:rsid w:val="005C6DD4"/>
    <w:rsid w:val="005D1B79"/>
    <w:rsid w:val="005D288F"/>
    <w:rsid w:val="005D4C1D"/>
    <w:rsid w:val="005D55E1"/>
    <w:rsid w:val="005D68D5"/>
    <w:rsid w:val="005D795B"/>
    <w:rsid w:val="005D7E55"/>
    <w:rsid w:val="005E1459"/>
    <w:rsid w:val="005E181C"/>
    <w:rsid w:val="005E29FB"/>
    <w:rsid w:val="005E3E34"/>
    <w:rsid w:val="005E57F4"/>
    <w:rsid w:val="005E6D8A"/>
    <w:rsid w:val="005E6FCD"/>
    <w:rsid w:val="005E789F"/>
    <w:rsid w:val="005F1D92"/>
    <w:rsid w:val="005F2D88"/>
    <w:rsid w:val="005F6974"/>
    <w:rsid w:val="005F791F"/>
    <w:rsid w:val="005F7D99"/>
    <w:rsid w:val="00600670"/>
    <w:rsid w:val="00604BC0"/>
    <w:rsid w:val="00606113"/>
    <w:rsid w:val="006061BC"/>
    <w:rsid w:val="00606573"/>
    <w:rsid w:val="0060721C"/>
    <w:rsid w:val="006110A9"/>
    <w:rsid w:val="00611D5F"/>
    <w:rsid w:val="006120A3"/>
    <w:rsid w:val="006120D6"/>
    <w:rsid w:val="00612BA1"/>
    <w:rsid w:val="00615A85"/>
    <w:rsid w:val="00615BD2"/>
    <w:rsid w:val="006170F0"/>
    <w:rsid w:val="00620819"/>
    <w:rsid w:val="00620D3D"/>
    <w:rsid w:val="00622724"/>
    <w:rsid w:val="006228B6"/>
    <w:rsid w:val="00623A77"/>
    <w:rsid w:val="00625B4E"/>
    <w:rsid w:val="00625BD7"/>
    <w:rsid w:val="0063382E"/>
    <w:rsid w:val="00633830"/>
    <w:rsid w:val="00633A1E"/>
    <w:rsid w:val="00634376"/>
    <w:rsid w:val="00634CED"/>
    <w:rsid w:val="0063658C"/>
    <w:rsid w:val="00636786"/>
    <w:rsid w:val="00636C32"/>
    <w:rsid w:val="00637372"/>
    <w:rsid w:val="006376E0"/>
    <w:rsid w:val="00637FFA"/>
    <w:rsid w:val="0064042D"/>
    <w:rsid w:val="00641182"/>
    <w:rsid w:val="006411F9"/>
    <w:rsid w:val="00641799"/>
    <w:rsid w:val="006424A9"/>
    <w:rsid w:val="00642C22"/>
    <w:rsid w:val="0064326E"/>
    <w:rsid w:val="00643BE7"/>
    <w:rsid w:val="006440D9"/>
    <w:rsid w:val="00644E5F"/>
    <w:rsid w:val="00645A83"/>
    <w:rsid w:val="00645A87"/>
    <w:rsid w:val="0064633A"/>
    <w:rsid w:val="0064749F"/>
    <w:rsid w:val="006474F2"/>
    <w:rsid w:val="00650022"/>
    <w:rsid w:val="00653BB5"/>
    <w:rsid w:val="00654031"/>
    <w:rsid w:val="0065482C"/>
    <w:rsid w:val="006556F6"/>
    <w:rsid w:val="00655D30"/>
    <w:rsid w:val="00656867"/>
    <w:rsid w:val="006602B4"/>
    <w:rsid w:val="0066060B"/>
    <w:rsid w:val="00660819"/>
    <w:rsid w:val="00660D67"/>
    <w:rsid w:val="00661930"/>
    <w:rsid w:val="00662BE6"/>
    <w:rsid w:val="00662F01"/>
    <w:rsid w:val="00663199"/>
    <w:rsid w:val="006640EF"/>
    <w:rsid w:val="00664B1E"/>
    <w:rsid w:val="00665A53"/>
    <w:rsid w:val="006676DF"/>
    <w:rsid w:val="00670236"/>
    <w:rsid w:val="00670DDE"/>
    <w:rsid w:val="00671CA0"/>
    <w:rsid w:val="00672877"/>
    <w:rsid w:val="006729EA"/>
    <w:rsid w:val="00674B55"/>
    <w:rsid w:val="00675556"/>
    <w:rsid w:val="006777EC"/>
    <w:rsid w:val="00680FE4"/>
    <w:rsid w:val="00683C4C"/>
    <w:rsid w:val="00683D6C"/>
    <w:rsid w:val="00685997"/>
    <w:rsid w:val="00686076"/>
    <w:rsid w:val="00686F4C"/>
    <w:rsid w:val="00691A48"/>
    <w:rsid w:val="006950E8"/>
    <w:rsid w:val="006953A2"/>
    <w:rsid w:val="006979DC"/>
    <w:rsid w:val="006A0515"/>
    <w:rsid w:val="006A0623"/>
    <w:rsid w:val="006A19EB"/>
    <w:rsid w:val="006A2082"/>
    <w:rsid w:val="006A20DB"/>
    <w:rsid w:val="006A2182"/>
    <w:rsid w:val="006A3E68"/>
    <w:rsid w:val="006A4B96"/>
    <w:rsid w:val="006A7D50"/>
    <w:rsid w:val="006A7E92"/>
    <w:rsid w:val="006B04CB"/>
    <w:rsid w:val="006B21CF"/>
    <w:rsid w:val="006B3396"/>
    <w:rsid w:val="006B52E6"/>
    <w:rsid w:val="006B598E"/>
    <w:rsid w:val="006B5AE9"/>
    <w:rsid w:val="006B606D"/>
    <w:rsid w:val="006B7204"/>
    <w:rsid w:val="006C0237"/>
    <w:rsid w:val="006C0B51"/>
    <w:rsid w:val="006C191A"/>
    <w:rsid w:val="006C1B34"/>
    <w:rsid w:val="006C2108"/>
    <w:rsid w:val="006C21F8"/>
    <w:rsid w:val="006C2E2C"/>
    <w:rsid w:val="006C430A"/>
    <w:rsid w:val="006C444D"/>
    <w:rsid w:val="006C5BE2"/>
    <w:rsid w:val="006C7320"/>
    <w:rsid w:val="006D1B66"/>
    <w:rsid w:val="006D1C47"/>
    <w:rsid w:val="006D3016"/>
    <w:rsid w:val="006D3CB7"/>
    <w:rsid w:val="006D3F0C"/>
    <w:rsid w:val="006D5946"/>
    <w:rsid w:val="006D608F"/>
    <w:rsid w:val="006E0F1F"/>
    <w:rsid w:val="006E0FFB"/>
    <w:rsid w:val="006E1032"/>
    <w:rsid w:val="006E127B"/>
    <w:rsid w:val="006E1315"/>
    <w:rsid w:val="006E3178"/>
    <w:rsid w:val="006E46D4"/>
    <w:rsid w:val="006E4B83"/>
    <w:rsid w:val="006E513E"/>
    <w:rsid w:val="006E5630"/>
    <w:rsid w:val="006E69D1"/>
    <w:rsid w:val="006E7BF1"/>
    <w:rsid w:val="006F1760"/>
    <w:rsid w:val="006F17FC"/>
    <w:rsid w:val="006F2A53"/>
    <w:rsid w:val="006F2A95"/>
    <w:rsid w:val="006F4205"/>
    <w:rsid w:val="006F4CF8"/>
    <w:rsid w:val="006F4D14"/>
    <w:rsid w:val="006F600D"/>
    <w:rsid w:val="006F7B53"/>
    <w:rsid w:val="00701A2E"/>
    <w:rsid w:val="00703CD5"/>
    <w:rsid w:val="007043E9"/>
    <w:rsid w:val="007055F1"/>
    <w:rsid w:val="007057AC"/>
    <w:rsid w:val="00707530"/>
    <w:rsid w:val="00710289"/>
    <w:rsid w:val="0071308B"/>
    <w:rsid w:val="00713AFE"/>
    <w:rsid w:val="007178A6"/>
    <w:rsid w:val="00717C30"/>
    <w:rsid w:val="00717FD6"/>
    <w:rsid w:val="0072025E"/>
    <w:rsid w:val="007205F3"/>
    <w:rsid w:val="00721D75"/>
    <w:rsid w:val="007220F4"/>
    <w:rsid w:val="007228FE"/>
    <w:rsid w:val="00723E24"/>
    <w:rsid w:val="00723F03"/>
    <w:rsid w:val="007264A0"/>
    <w:rsid w:val="00726FC9"/>
    <w:rsid w:val="00730443"/>
    <w:rsid w:val="007307BD"/>
    <w:rsid w:val="00730E83"/>
    <w:rsid w:val="00731717"/>
    <w:rsid w:val="007321BA"/>
    <w:rsid w:val="00734012"/>
    <w:rsid w:val="007340A6"/>
    <w:rsid w:val="00736D3B"/>
    <w:rsid w:val="0073783D"/>
    <w:rsid w:val="0074144A"/>
    <w:rsid w:val="00742587"/>
    <w:rsid w:val="00743A2F"/>
    <w:rsid w:val="007476BE"/>
    <w:rsid w:val="00747787"/>
    <w:rsid w:val="00751BE3"/>
    <w:rsid w:val="00753812"/>
    <w:rsid w:val="0075417E"/>
    <w:rsid w:val="007544C7"/>
    <w:rsid w:val="00754DFD"/>
    <w:rsid w:val="00754F17"/>
    <w:rsid w:val="00755079"/>
    <w:rsid w:val="00756FC4"/>
    <w:rsid w:val="00757DB0"/>
    <w:rsid w:val="00763F24"/>
    <w:rsid w:val="00765EE0"/>
    <w:rsid w:val="00766605"/>
    <w:rsid w:val="00771AC7"/>
    <w:rsid w:val="00771D70"/>
    <w:rsid w:val="00771E07"/>
    <w:rsid w:val="0077330A"/>
    <w:rsid w:val="00773B5E"/>
    <w:rsid w:val="00773DFD"/>
    <w:rsid w:val="00775E4C"/>
    <w:rsid w:val="00775FC9"/>
    <w:rsid w:val="007764BA"/>
    <w:rsid w:val="007777E9"/>
    <w:rsid w:val="00777999"/>
    <w:rsid w:val="00782D1D"/>
    <w:rsid w:val="00783941"/>
    <w:rsid w:val="0078549E"/>
    <w:rsid w:val="00785C84"/>
    <w:rsid w:val="00786764"/>
    <w:rsid w:val="00786DC2"/>
    <w:rsid w:val="007877F6"/>
    <w:rsid w:val="00790548"/>
    <w:rsid w:val="007915BA"/>
    <w:rsid w:val="00791CB0"/>
    <w:rsid w:val="00792408"/>
    <w:rsid w:val="007925D8"/>
    <w:rsid w:val="00794966"/>
    <w:rsid w:val="00796117"/>
    <w:rsid w:val="007965EB"/>
    <w:rsid w:val="007966E1"/>
    <w:rsid w:val="007A0966"/>
    <w:rsid w:val="007A16F7"/>
    <w:rsid w:val="007A369E"/>
    <w:rsid w:val="007A45CB"/>
    <w:rsid w:val="007A7247"/>
    <w:rsid w:val="007A7AAA"/>
    <w:rsid w:val="007A7C54"/>
    <w:rsid w:val="007B0086"/>
    <w:rsid w:val="007B0BC6"/>
    <w:rsid w:val="007B170E"/>
    <w:rsid w:val="007B2614"/>
    <w:rsid w:val="007B384A"/>
    <w:rsid w:val="007B4828"/>
    <w:rsid w:val="007B4FEB"/>
    <w:rsid w:val="007B6453"/>
    <w:rsid w:val="007B66D2"/>
    <w:rsid w:val="007B686F"/>
    <w:rsid w:val="007B7731"/>
    <w:rsid w:val="007B7E2A"/>
    <w:rsid w:val="007C0E78"/>
    <w:rsid w:val="007C1A18"/>
    <w:rsid w:val="007C338F"/>
    <w:rsid w:val="007C618E"/>
    <w:rsid w:val="007C6486"/>
    <w:rsid w:val="007C68E9"/>
    <w:rsid w:val="007D364B"/>
    <w:rsid w:val="007D40BB"/>
    <w:rsid w:val="007D4F0C"/>
    <w:rsid w:val="007D6F67"/>
    <w:rsid w:val="007D71F9"/>
    <w:rsid w:val="007D75A0"/>
    <w:rsid w:val="007E0F8A"/>
    <w:rsid w:val="007E354D"/>
    <w:rsid w:val="007E3843"/>
    <w:rsid w:val="007E3F41"/>
    <w:rsid w:val="007E48FF"/>
    <w:rsid w:val="007E7214"/>
    <w:rsid w:val="007E78FB"/>
    <w:rsid w:val="007E7E0E"/>
    <w:rsid w:val="007F0136"/>
    <w:rsid w:val="007F036D"/>
    <w:rsid w:val="007F1E19"/>
    <w:rsid w:val="007F20EE"/>
    <w:rsid w:val="007F3D3E"/>
    <w:rsid w:val="007F5512"/>
    <w:rsid w:val="007F5ECD"/>
    <w:rsid w:val="007F6AC0"/>
    <w:rsid w:val="007F6B70"/>
    <w:rsid w:val="007F7B02"/>
    <w:rsid w:val="0080144D"/>
    <w:rsid w:val="00802343"/>
    <w:rsid w:val="00804488"/>
    <w:rsid w:val="008073DC"/>
    <w:rsid w:val="00811EF8"/>
    <w:rsid w:val="00812019"/>
    <w:rsid w:val="00812C94"/>
    <w:rsid w:val="008132B9"/>
    <w:rsid w:val="008137F8"/>
    <w:rsid w:val="008146B2"/>
    <w:rsid w:val="00815B58"/>
    <w:rsid w:val="00816E77"/>
    <w:rsid w:val="00817799"/>
    <w:rsid w:val="008177C9"/>
    <w:rsid w:val="00822EF0"/>
    <w:rsid w:val="00823FDC"/>
    <w:rsid w:val="00824656"/>
    <w:rsid w:val="00824758"/>
    <w:rsid w:val="00831B9A"/>
    <w:rsid w:val="00832141"/>
    <w:rsid w:val="008339FC"/>
    <w:rsid w:val="00834E44"/>
    <w:rsid w:val="00835C0E"/>
    <w:rsid w:val="00840065"/>
    <w:rsid w:val="00840F74"/>
    <w:rsid w:val="00841F40"/>
    <w:rsid w:val="00843AC6"/>
    <w:rsid w:val="00845420"/>
    <w:rsid w:val="00845EA5"/>
    <w:rsid w:val="008471DA"/>
    <w:rsid w:val="00850532"/>
    <w:rsid w:val="00850579"/>
    <w:rsid w:val="00850AFE"/>
    <w:rsid w:val="008517F5"/>
    <w:rsid w:val="00854770"/>
    <w:rsid w:val="00855996"/>
    <w:rsid w:val="00857F80"/>
    <w:rsid w:val="008601FD"/>
    <w:rsid w:val="0086062C"/>
    <w:rsid w:val="00860D2C"/>
    <w:rsid w:val="00860E3E"/>
    <w:rsid w:val="00861D49"/>
    <w:rsid w:val="00862462"/>
    <w:rsid w:val="00863B04"/>
    <w:rsid w:val="00864985"/>
    <w:rsid w:val="0086546F"/>
    <w:rsid w:val="008658AA"/>
    <w:rsid w:val="00866D31"/>
    <w:rsid w:val="00870AAB"/>
    <w:rsid w:val="00870AF0"/>
    <w:rsid w:val="008713F8"/>
    <w:rsid w:val="00871DF7"/>
    <w:rsid w:val="0087202B"/>
    <w:rsid w:val="00875FF9"/>
    <w:rsid w:val="00876603"/>
    <w:rsid w:val="00876738"/>
    <w:rsid w:val="008770B0"/>
    <w:rsid w:val="00881CD2"/>
    <w:rsid w:val="00882ED8"/>
    <w:rsid w:val="0088324F"/>
    <w:rsid w:val="00891916"/>
    <w:rsid w:val="00891944"/>
    <w:rsid w:val="008919C4"/>
    <w:rsid w:val="008922AA"/>
    <w:rsid w:val="008928E1"/>
    <w:rsid w:val="0089291F"/>
    <w:rsid w:val="0089359A"/>
    <w:rsid w:val="00895D06"/>
    <w:rsid w:val="0089729D"/>
    <w:rsid w:val="0089773C"/>
    <w:rsid w:val="008A16F8"/>
    <w:rsid w:val="008A1905"/>
    <w:rsid w:val="008A2EE7"/>
    <w:rsid w:val="008A625E"/>
    <w:rsid w:val="008A7C5C"/>
    <w:rsid w:val="008B1AF5"/>
    <w:rsid w:val="008B26BE"/>
    <w:rsid w:val="008B2849"/>
    <w:rsid w:val="008B3087"/>
    <w:rsid w:val="008B37BB"/>
    <w:rsid w:val="008B4321"/>
    <w:rsid w:val="008B550F"/>
    <w:rsid w:val="008B5577"/>
    <w:rsid w:val="008B6F7F"/>
    <w:rsid w:val="008B7733"/>
    <w:rsid w:val="008C0AEA"/>
    <w:rsid w:val="008C0DFF"/>
    <w:rsid w:val="008C1262"/>
    <w:rsid w:val="008C2565"/>
    <w:rsid w:val="008C2AFB"/>
    <w:rsid w:val="008C48F2"/>
    <w:rsid w:val="008C56C4"/>
    <w:rsid w:val="008C683C"/>
    <w:rsid w:val="008C6A55"/>
    <w:rsid w:val="008C7CBE"/>
    <w:rsid w:val="008D27F6"/>
    <w:rsid w:val="008D371C"/>
    <w:rsid w:val="008D3720"/>
    <w:rsid w:val="008D4B6C"/>
    <w:rsid w:val="008D5E80"/>
    <w:rsid w:val="008D6ABF"/>
    <w:rsid w:val="008D7921"/>
    <w:rsid w:val="008E2B10"/>
    <w:rsid w:val="008E2FA0"/>
    <w:rsid w:val="008E3E51"/>
    <w:rsid w:val="008E4C41"/>
    <w:rsid w:val="008E580C"/>
    <w:rsid w:val="008E7FF1"/>
    <w:rsid w:val="008F002D"/>
    <w:rsid w:val="008F008D"/>
    <w:rsid w:val="008F1E96"/>
    <w:rsid w:val="008F51A4"/>
    <w:rsid w:val="008F55C7"/>
    <w:rsid w:val="008F6923"/>
    <w:rsid w:val="009154E2"/>
    <w:rsid w:val="0091570E"/>
    <w:rsid w:val="0091675A"/>
    <w:rsid w:val="009173BB"/>
    <w:rsid w:val="00917CEA"/>
    <w:rsid w:val="00920783"/>
    <w:rsid w:val="00922326"/>
    <w:rsid w:val="00924301"/>
    <w:rsid w:val="00924D51"/>
    <w:rsid w:val="009264CC"/>
    <w:rsid w:val="0092698D"/>
    <w:rsid w:val="00927753"/>
    <w:rsid w:val="009303E6"/>
    <w:rsid w:val="0093482C"/>
    <w:rsid w:val="00934933"/>
    <w:rsid w:val="00934C68"/>
    <w:rsid w:val="0093735F"/>
    <w:rsid w:val="00937965"/>
    <w:rsid w:val="0094150C"/>
    <w:rsid w:val="009424EF"/>
    <w:rsid w:val="00942872"/>
    <w:rsid w:val="00943F8B"/>
    <w:rsid w:val="009451E9"/>
    <w:rsid w:val="009461D1"/>
    <w:rsid w:val="009468A0"/>
    <w:rsid w:val="00946BF5"/>
    <w:rsid w:val="00946DE3"/>
    <w:rsid w:val="00950330"/>
    <w:rsid w:val="0095067D"/>
    <w:rsid w:val="00951D72"/>
    <w:rsid w:val="00952AE4"/>
    <w:rsid w:val="00953201"/>
    <w:rsid w:val="00953A39"/>
    <w:rsid w:val="00957054"/>
    <w:rsid w:val="00957100"/>
    <w:rsid w:val="00957120"/>
    <w:rsid w:val="0096200A"/>
    <w:rsid w:val="00962358"/>
    <w:rsid w:val="00962EA3"/>
    <w:rsid w:val="00963BEE"/>
    <w:rsid w:val="00964818"/>
    <w:rsid w:val="0096584E"/>
    <w:rsid w:val="009660B3"/>
    <w:rsid w:val="00967172"/>
    <w:rsid w:val="00967DC8"/>
    <w:rsid w:val="009703E0"/>
    <w:rsid w:val="00970700"/>
    <w:rsid w:val="00970B05"/>
    <w:rsid w:val="0097161A"/>
    <w:rsid w:val="00971780"/>
    <w:rsid w:val="009723F0"/>
    <w:rsid w:val="009735DC"/>
    <w:rsid w:val="0097392E"/>
    <w:rsid w:val="00973B85"/>
    <w:rsid w:val="00974766"/>
    <w:rsid w:val="0097509F"/>
    <w:rsid w:val="0097552B"/>
    <w:rsid w:val="009757FD"/>
    <w:rsid w:val="00975C63"/>
    <w:rsid w:val="00976495"/>
    <w:rsid w:val="00977061"/>
    <w:rsid w:val="009832FE"/>
    <w:rsid w:val="00983BC2"/>
    <w:rsid w:val="00984046"/>
    <w:rsid w:val="00984C73"/>
    <w:rsid w:val="00985165"/>
    <w:rsid w:val="00986F77"/>
    <w:rsid w:val="009870D2"/>
    <w:rsid w:val="00987875"/>
    <w:rsid w:val="00987FF3"/>
    <w:rsid w:val="0099029C"/>
    <w:rsid w:val="00990F3B"/>
    <w:rsid w:val="00991223"/>
    <w:rsid w:val="00991A90"/>
    <w:rsid w:val="00992229"/>
    <w:rsid w:val="00995244"/>
    <w:rsid w:val="00995616"/>
    <w:rsid w:val="00997AFE"/>
    <w:rsid w:val="009A0064"/>
    <w:rsid w:val="009A080D"/>
    <w:rsid w:val="009A0CCE"/>
    <w:rsid w:val="009A1CC4"/>
    <w:rsid w:val="009A2661"/>
    <w:rsid w:val="009A28F4"/>
    <w:rsid w:val="009A402A"/>
    <w:rsid w:val="009A4588"/>
    <w:rsid w:val="009A664A"/>
    <w:rsid w:val="009A68B5"/>
    <w:rsid w:val="009B0597"/>
    <w:rsid w:val="009B2D30"/>
    <w:rsid w:val="009B2FCB"/>
    <w:rsid w:val="009B528C"/>
    <w:rsid w:val="009B55CB"/>
    <w:rsid w:val="009B5DB6"/>
    <w:rsid w:val="009B68F3"/>
    <w:rsid w:val="009B7D87"/>
    <w:rsid w:val="009C1365"/>
    <w:rsid w:val="009C2701"/>
    <w:rsid w:val="009C2A2D"/>
    <w:rsid w:val="009C2BEC"/>
    <w:rsid w:val="009C2DC3"/>
    <w:rsid w:val="009C4550"/>
    <w:rsid w:val="009C4C9B"/>
    <w:rsid w:val="009C578E"/>
    <w:rsid w:val="009C6545"/>
    <w:rsid w:val="009C6771"/>
    <w:rsid w:val="009C6BD8"/>
    <w:rsid w:val="009D02AB"/>
    <w:rsid w:val="009D0BCB"/>
    <w:rsid w:val="009D2B28"/>
    <w:rsid w:val="009D31A8"/>
    <w:rsid w:val="009D3C6E"/>
    <w:rsid w:val="009D48B8"/>
    <w:rsid w:val="009D631B"/>
    <w:rsid w:val="009E0596"/>
    <w:rsid w:val="009E09D8"/>
    <w:rsid w:val="009E5135"/>
    <w:rsid w:val="009E5683"/>
    <w:rsid w:val="009F542D"/>
    <w:rsid w:val="009F632E"/>
    <w:rsid w:val="009F6716"/>
    <w:rsid w:val="00A02723"/>
    <w:rsid w:val="00A02EBF"/>
    <w:rsid w:val="00A03C80"/>
    <w:rsid w:val="00A054FD"/>
    <w:rsid w:val="00A0570A"/>
    <w:rsid w:val="00A05DE6"/>
    <w:rsid w:val="00A062B6"/>
    <w:rsid w:val="00A068E5"/>
    <w:rsid w:val="00A11AF3"/>
    <w:rsid w:val="00A14EC4"/>
    <w:rsid w:val="00A171EC"/>
    <w:rsid w:val="00A21ED9"/>
    <w:rsid w:val="00A23129"/>
    <w:rsid w:val="00A2371A"/>
    <w:rsid w:val="00A244F0"/>
    <w:rsid w:val="00A24C8D"/>
    <w:rsid w:val="00A25838"/>
    <w:rsid w:val="00A26296"/>
    <w:rsid w:val="00A2692F"/>
    <w:rsid w:val="00A31067"/>
    <w:rsid w:val="00A33402"/>
    <w:rsid w:val="00A343F0"/>
    <w:rsid w:val="00A34AA8"/>
    <w:rsid w:val="00A34B83"/>
    <w:rsid w:val="00A34BFE"/>
    <w:rsid w:val="00A35FC5"/>
    <w:rsid w:val="00A36AD4"/>
    <w:rsid w:val="00A36B18"/>
    <w:rsid w:val="00A37EEE"/>
    <w:rsid w:val="00A407C7"/>
    <w:rsid w:val="00A41EF0"/>
    <w:rsid w:val="00A423CD"/>
    <w:rsid w:val="00A435DF"/>
    <w:rsid w:val="00A43803"/>
    <w:rsid w:val="00A4466E"/>
    <w:rsid w:val="00A45A4F"/>
    <w:rsid w:val="00A46374"/>
    <w:rsid w:val="00A47B56"/>
    <w:rsid w:val="00A50673"/>
    <w:rsid w:val="00A531D6"/>
    <w:rsid w:val="00A5349A"/>
    <w:rsid w:val="00A53613"/>
    <w:rsid w:val="00A536F1"/>
    <w:rsid w:val="00A5559B"/>
    <w:rsid w:val="00A55A98"/>
    <w:rsid w:val="00A56611"/>
    <w:rsid w:val="00A566E4"/>
    <w:rsid w:val="00A6094C"/>
    <w:rsid w:val="00A6207B"/>
    <w:rsid w:val="00A63B51"/>
    <w:rsid w:val="00A65735"/>
    <w:rsid w:val="00A65810"/>
    <w:rsid w:val="00A6682C"/>
    <w:rsid w:val="00A66C26"/>
    <w:rsid w:val="00A67A36"/>
    <w:rsid w:val="00A71A7F"/>
    <w:rsid w:val="00A72293"/>
    <w:rsid w:val="00A736C5"/>
    <w:rsid w:val="00A743F8"/>
    <w:rsid w:val="00A75A1D"/>
    <w:rsid w:val="00A805C6"/>
    <w:rsid w:val="00A806A8"/>
    <w:rsid w:val="00A811DC"/>
    <w:rsid w:val="00A82798"/>
    <w:rsid w:val="00A83C59"/>
    <w:rsid w:val="00A85A5E"/>
    <w:rsid w:val="00A85AF4"/>
    <w:rsid w:val="00A87929"/>
    <w:rsid w:val="00A90A07"/>
    <w:rsid w:val="00A90EC4"/>
    <w:rsid w:val="00A92918"/>
    <w:rsid w:val="00A92A92"/>
    <w:rsid w:val="00A94E66"/>
    <w:rsid w:val="00A95D7B"/>
    <w:rsid w:val="00A95F92"/>
    <w:rsid w:val="00A96E91"/>
    <w:rsid w:val="00AA35EE"/>
    <w:rsid w:val="00AA43E1"/>
    <w:rsid w:val="00AA49B7"/>
    <w:rsid w:val="00AA5518"/>
    <w:rsid w:val="00AB1228"/>
    <w:rsid w:val="00AB3007"/>
    <w:rsid w:val="00AB3935"/>
    <w:rsid w:val="00AB3CBB"/>
    <w:rsid w:val="00AB3D04"/>
    <w:rsid w:val="00AB3E2F"/>
    <w:rsid w:val="00AB6B04"/>
    <w:rsid w:val="00AB6D3E"/>
    <w:rsid w:val="00AB7657"/>
    <w:rsid w:val="00AC08E3"/>
    <w:rsid w:val="00AC14FF"/>
    <w:rsid w:val="00AC48BC"/>
    <w:rsid w:val="00AC5996"/>
    <w:rsid w:val="00AC6155"/>
    <w:rsid w:val="00AC70BB"/>
    <w:rsid w:val="00AC7282"/>
    <w:rsid w:val="00AC752E"/>
    <w:rsid w:val="00AD0147"/>
    <w:rsid w:val="00AD059E"/>
    <w:rsid w:val="00AD2111"/>
    <w:rsid w:val="00AD24CA"/>
    <w:rsid w:val="00AD39A2"/>
    <w:rsid w:val="00AD45C9"/>
    <w:rsid w:val="00AD4E44"/>
    <w:rsid w:val="00AD5E30"/>
    <w:rsid w:val="00AD601F"/>
    <w:rsid w:val="00AD6DD7"/>
    <w:rsid w:val="00AE0123"/>
    <w:rsid w:val="00AE05A1"/>
    <w:rsid w:val="00AE0687"/>
    <w:rsid w:val="00AE163F"/>
    <w:rsid w:val="00AE204F"/>
    <w:rsid w:val="00AE4B04"/>
    <w:rsid w:val="00AE4D34"/>
    <w:rsid w:val="00AE4DAC"/>
    <w:rsid w:val="00AE4DEA"/>
    <w:rsid w:val="00AE67C3"/>
    <w:rsid w:val="00AF2196"/>
    <w:rsid w:val="00AF2D43"/>
    <w:rsid w:val="00AF417B"/>
    <w:rsid w:val="00AF4F7B"/>
    <w:rsid w:val="00AF6518"/>
    <w:rsid w:val="00AF6FB9"/>
    <w:rsid w:val="00AF73A0"/>
    <w:rsid w:val="00B022C1"/>
    <w:rsid w:val="00B02FC8"/>
    <w:rsid w:val="00B03548"/>
    <w:rsid w:val="00B044ED"/>
    <w:rsid w:val="00B04978"/>
    <w:rsid w:val="00B0535D"/>
    <w:rsid w:val="00B05AA0"/>
    <w:rsid w:val="00B068D2"/>
    <w:rsid w:val="00B12BFB"/>
    <w:rsid w:val="00B13C14"/>
    <w:rsid w:val="00B14383"/>
    <w:rsid w:val="00B21FE5"/>
    <w:rsid w:val="00B226E7"/>
    <w:rsid w:val="00B254B5"/>
    <w:rsid w:val="00B26294"/>
    <w:rsid w:val="00B271CE"/>
    <w:rsid w:val="00B30E74"/>
    <w:rsid w:val="00B310E1"/>
    <w:rsid w:val="00B3195D"/>
    <w:rsid w:val="00B31B3A"/>
    <w:rsid w:val="00B31F80"/>
    <w:rsid w:val="00B338B6"/>
    <w:rsid w:val="00B33B06"/>
    <w:rsid w:val="00B33FDE"/>
    <w:rsid w:val="00B34503"/>
    <w:rsid w:val="00B364DB"/>
    <w:rsid w:val="00B36B75"/>
    <w:rsid w:val="00B37AF2"/>
    <w:rsid w:val="00B43345"/>
    <w:rsid w:val="00B43D3C"/>
    <w:rsid w:val="00B4420B"/>
    <w:rsid w:val="00B442F2"/>
    <w:rsid w:val="00B44721"/>
    <w:rsid w:val="00B4586C"/>
    <w:rsid w:val="00B45BC5"/>
    <w:rsid w:val="00B46891"/>
    <w:rsid w:val="00B4701C"/>
    <w:rsid w:val="00B475D7"/>
    <w:rsid w:val="00B515F0"/>
    <w:rsid w:val="00B52306"/>
    <w:rsid w:val="00B5282E"/>
    <w:rsid w:val="00B52C46"/>
    <w:rsid w:val="00B5431B"/>
    <w:rsid w:val="00B54F9F"/>
    <w:rsid w:val="00B56DFF"/>
    <w:rsid w:val="00B62475"/>
    <w:rsid w:val="00B64079"/>
    <w:rsid w:val="00B64A32"/>
    <w:rsid w:val="00B66810"/>
    <w:rsid w:val="00B66A6D"/>
    <w:rsid w:val="00B67079"/>
    <w:rsid w:val="00B70FF3"/>
    <w:rsid w:val="00B71881"/>
    <w:rsid w:val="00B73F8B"/>
    <w:rsid w:val="00B80834"/>
    <w:rsid w:val="00B80FD8"/>
    <w:rsid w:val="00B8175E"/>
    <w:rsid w:val="00B8399C"/>
    <w:rsid w:val="00B85C0C"/>
    <w:rsid w:val="00B873B7"/>
    <w:rsid w:val="00B9177F"/>
    <w:rsid w:val="00B91BFE"/>
    <w:rsid w:val="00B939B1"/>
    <w:rsid w:val="00B941C1"/>
    <w:rsid w:val="00B96084"/>
    <w:rsid w:val="00B96357"/>
    <w:rsid w:val="00BA1A99"/>
    <w:rsid w:val="00BA3414"/>
    <w:rsid w:val="00BA3879"/>
    <w:rsid w:val="00BA3B1B"/>
    <w:rsid w:val="00BA4369"/>
    <w:rsid w:val="00BA6913"/>
    <w:rsid w:val="00BB1930"/>
    <w:rsid w:val="00BB1FA9"/>
    <w:rsid w:val="00BB48C5"/>
    <w:rsid w:val="00BB69E2"/>
    <w:rsid w:val="00BB7435"/>
    <w:rsid w:val="00BC0609"/>
    <w:rsid w:val="00BC2C2D"/>
    <w:rsid w:val="00BC3224"/>
    <w:rsid w:val="00BC4AE5"/>
    <w:rsid w:val="00BD08F5"/>
    <w:rsid w:val="00BD0B50"/>
    <w:rsid w:val="00BD252D"/>
    <w:rsid w:val="00BD3AF0"/>
    <w:rsid w:val="00BD60DD"/>
    <w:rsid w:val="00BD7356"/>
    <w:rsid w:val="00BE038D"/>
    <w:rsid w:val="00BE0454"/>
    <w:rsid w:val="00BE20E0"/>
    <w:rsid w:val="00BE22DE"/>
    <w:rsid w:val="00BE2845"/>
    <w:rsid w:val="00BE3037"/>
    <w:rsid w:val="00BE6888"/>
    <w:rsid w:val="00BE7030"/>
    <w:rsid w:val="00BE70C5"/>
    <w:rsid w:val="00BF395F"/>
    <w:rsid w:val="00BF3F80"/>
    <w:rsid w:val="00BF4970"/>
    <w:rsid w:val="00BF5A58"/>
    <w:rsid w:val="00BF5E22"/>
    <w:rsid w:val="00BF5F24"/>
    <w:rsid w:val="00BF62D2"/>
    <w:rsid w:val="00C006CC"/>
    <w:rsid w:val="00C00C51"/>
    <w:rsid w:val="00C01A9F"/>
    <w:rsid w:val="00C02C58"/>
    <w:rsid w:val="00C05051"/>
    <w:rsid w:val="00C055AD"/>
    <w:rsid w:val="00C075F3"/>
    <w:rsid w:val="00C10A91"/>
    <w:rsid w:val="00C12748"/>
    <w:rsid w:val="00C14CF9"/>
    <w:rsid w:val="00C15A00"/>
    <w:rsid w:val="00C16EE3"/>
    <w:rsid w:val="00C22250"/>
    <w:rsid w:val="00C25ACE"/>
    <w:rsid w:val="00C25F70"/>
    <w:rsid w:val="00C30C05"/>
    <w:rsid w:val="00C30F94"/>
    <w:rsid w:val="00C3101C"/>
    <w:rsid w:val="00C32633"/>
    <w:rsid w:val="00C33089"/>
    <w:rsid w:val="00C332BB"/>
    <w:rsid w:val="00C334EE"/>
    <w:rsid w:val="00C3547D"/>
    <w:rsid w:val="00C35885"/>
    <w:rsid w:val="00C365BB"/>
    <w:rsid w:val="00C37AD8"/>
    <w:rsid w:val="00C37B83"/>
    <w:rsid w:val="00C40439"/>
    <w:rsid w:val="00C40E36"/>
    <w:rsid w:val="00C41185"/>
    <w:rsid w:val="00C42761"/>
    <w:rsid w:val="00C450EF"/>
    <w:rsid w:val="00C454A7"/>
    <w:rsid w:val="00C45A18"/>
    <w:rsid w:val="00C45AFF"/>
    <w:rsid w:val="00C46AC9"/>
    <w:rsid w:val="00C46B0E"/>
    <w:rsid w:val="00C508D0"/>
    <w:rsid w:val="00C509C2"/>
    <w:rsid w:val="00C51222"/>
    <w:rsid w:val="00C51912"/>
    <w:rsid w:val="00C51C33"/>
    <w:rsid w:val="00C53790"/>
    <w:rsid w:val="00C562F9"/>
    <w:rsid w:val="00C564FC"/>
    <w:rsid w:val="00C60789"/>
    <w:rsid w:val="00C62F5B"/>
    <w:rsid w:val="00C64900"/>
    <w:rsid w:val="00C664F3"/>
    <w:rsid w:val="00C67359"/>
    <w:rsid w:val="00C6785B"/>
    <w:rsid w:val="00C67EF8"/>
    <w:rsid w:val="00C70F01"/>
    <w:rsid w:val="00C71ED7"/>
    <w:rsid w:val="00C71FAD"/>
    <w:rsid w:val="00C72846"/>
    <w:rsid w:val="00C72D13"/>
    <w:rsid w:val="00C80AC9"/>
    <w:rsid w:val="00C80C15"/>
    <w:rsid w:val="00C82815"/>
    <w:rsid w:val="00C83B43"/>
    <w:rsid w:val="00C8432E"/>
    <w:rsid w:val="00C84DB1"/>
    <w:rsid w:val="00C87695"/>
    <w:rsid w:val="00C901A4"/>
    <w:rsid w:val="00C90CA0"/>
    <w:rsid w:val="00C96FE9"/>
    <w:rsid w:val="00CA07C2"/>
    <w:rsid w:val="00CA3AC6"/>
    <w:rsid w:val="00CA4699"/>
    <w:rsid w:val="00CA50D8"/>
    <w:rsid w:val="00CA57F3"/>
    <w:rsid w:val="00CA5844"/>
    <w:rsid w:val="00CA66A8"/>
    <w:rsid w:val="00CA6ECE"/>
    <w:rsid w:val="00CA7744"/>
    <w:rsid w:val="00CB1885"/>
    <w:rsid w:val="00CB243D"/>
    <w:rsid w:val="00CB54AF"/>
    <w:rsid w:val="00CB574D"/>
    <w:rsid w:val="00CB59A5"/>
    <w:rsid w:val="00CB6779"/>
    <w:rsid w:val="00CB67C9"/>
    <w:rsid w:val="00CC039D"/>
    <w:rsid w:val="00CC1DEB"/>
    <w:rsid w:val="00CC275F"/>
    <w:rsid w:val="00CC49B4"/>
    <w:rsid w:val="00CC6441"/>
    <w:rsid w:val="00CC68D0"/>
    <w:rsid w:val="00CC7FB4"/>
    <w:rsid w:val="00CD03FD"/>
    <w:rsid w:val="00CD2EB9"/>
    <w:rsid w:val="00CD2F9F"/>
    <w:rsid w:val="00CD4604"/>
    <w:rsid w:val="00CD5E32"/>
    <w:rsid w:val="00CD7AD3"/>
    <w:rsid w:val="00CE1C11"/>
    <w:rsid w:val="00CE2C6D"/>
    <w:rsid w:val="00CE41F4"/>
    <w:rsid w:val="00CE448E"/>
    <w:rsid w:val="00CE467C"/>
    <w:rsid w:val="00CE4980"/>
    <w:rsid w:val="00CE58AD"/>
    <w:rsid w:val="00CF033E"/>
    <w:rsid w:val="00CF13FE"/>
    <w:rsid w:val="00CF3FA9"/>
    <w:rsid w:val="00CF49CF"/>
    <w:rsid w:val="00CF5274"/>
    <w:rsid w:val="00D00617"/>
    <w:rsid w:val="00D008E2"/>
    <w:rsid w:val="00D0166B"/>
    <w:rsid w:val="00D02F54"/>
    <w:rsid w:val="00D034C9"/>
    <w:rsid w:val="00D0527D"/>
    <w:rsid w:val="00D05298"/>
    <w:rsid w:val="00D06573"/>
    <w:rsid w:val="00D06F5F"/>
    <w:rsid w:val="00D075EB"/>
    <w:rsid w:val="00D110C9"/>
    <w:rsid w:val="00D118F1"/>
    <w:rsid w:val="00D128CF"/>
    <w:rsid w:val="00D14349"/>
    <w:rsid w:val="00D147FA"/>
    <w:rsid w:val="00D1537F"/>
    <w:rsid w:val="00D154A8"/>
    <w:rsid w:val="00D173EF"/>
    <w:rsid w:val="00D2187F"/>
    <w:rsid w:val="00D22037"/>
    <w:rsid w:val="00D22B55"/>
    <w:rsid w:val="00D23BB6"/>
    <w:rsid w:val="00D24B42"/>
    <w:rsid w:val="00D254DF"/>
    <w:rsid w:val="00D2745F"/>
    <w:rsid w:val="00D3213F"/>
    <w:rsid w:val="00D3589D"/>
    <w:rsid w:val="00D35CA0"/>
    <w:rsid w:val="00D377AE"/>
    <w:rsid w:val="00D37834"/>
    <w:rsid w:val="00D37F27"/>
    <w:rsid w:val="00D42A38"/>
    <w:rsid w:val="00D45260"/>
    <w:rsid w:val="00D464F5"/>
    <w:rsid w:val="00D5069D"/>
    <w:rsid w:val="00D514A5"/>
    <w:rsid w:val="00D51AE0"/>
    <w:rsid w:val="00D52C47"/>
    <w:rsid w:val="00D52CA0"/>
    <w:rsid w:val="00D53C67"/>
    <w:rsid w:val="00D54069"/>
    <w:rsid w:val="00D54EBD"/>
    <w:rsid w:val="00D558DD"/>
    <w:rsid w:val="00D56189"/>
    <w:rsid w:val="00D5661B"/>
    <w:rsid w:val="00D56AE2"/>
    <w:rsid w:val="00D56BC0"/>
    <w:rsid w:val="00D57B7F"/>
    <w:rsid w:val="00D603C1"/>
    <w:rsid w:val="00D6059F"/>
    <w:rsid w:val="00D6127B"/>
    <w:rsid w:val="00D6138E"/>
    <w:rsid w:val="00D62DF5"/>
    <w:rsid w:val="00D63719"/>
    <w:rsid w:val="00D63940"/>
    <w:rsid w:val="00D63B9F"/>
    <w:rsid w:val="00D64A32"/>
    <w:rsid w:val="00D661E2"/>
    <w:rsid w:val="00D7001F"/>
    <w:rsid w:val="00D70257"/>
    <w:rsid w:val="00D717C8"/>
    <w:rsid w:val="00D75540"/>
    <w:rsid w:val="00D80098"/>
    <w:rsid w:val="00D804BD"/>
    <w:rsid w:val="00D827E4"/>
    <w:rsid w:val="00D831B9"/>
    <w:rsid w:val="00D84C44"/>
    <w:rsid w:val="00D862FE"/>
    <w:rsid w:val="00D86408"/>
    <w:rsid w:val="00D900B3"/>
    <w:rsid w:val="00D91140"/>
    <w:rsid w:val="00D913D0"/>
    <w:rsid w:val="00D92E5D"/>
    <w:rsid w:val="00D93005"/>
    <w:rsid w:val="00D93514"/>
    <w:rsid w:val="00D95540"/>
    <w:rsid w:val="00D956C3"/>
    <w:rsid w:val="00D97751"/>
    <w:rsid w:val="00DA040F"/>
    <w:rsid w:val="00DA0513"/>
    <w:rsid w:val="00DA0772"/>
    <w:rsid w:val="00DA0EC4"/>
    <w:rsid w:val="00DA229B"/>
    <w:rsid w:val="00DA3016"/>
    <w:rsid w:val="00DA38E1"/>
    <w:rsid w:val="00DA680A"/>
    <w:rsid w:val="00DB309C"/>
    <w:rsid w:val="00DB3DCB"/>
    <w:rsid w:val="00DB47F8"/>
    <w:rsid w:val="00DB569B"/>
    <w:rsid w:val="00DB71EC"/>
    <w:rsid w:val="00DC0B1A"/>
    <w:rsid w:val="00DC18F9"/>
    <w:rsid w:val="00DC2BC9"/>
    <w:rsid w:val="00DC2FEE"/>
    <w:rsid w:val="00DC4CBB"/>
    <w:rsid w:val="00DC5DB3"/>
    <w:rsid w:val="00DC6573"/>
    <w:rsid w:val="00DD1C73"/>
    <w:rsid w:val="00DD20D9"/>
    <w:rsid w:val="00DD3E26"/>
    <w:rsid w:val="00DD45C7"/>
    <w:rsid w:val="00DD58B1"/>
    <w:rsid w:val="00DD6164"/>
    <w:rsid w:val="00DE00A7"/>
    <w:rsid w:val="00DE082C"/>
    <w:rsid w:val="00DE0B30"/>
    <w:rsid w:val="00DE27C4"/>
    <w:rsid w:val="00DE2F00"/>
    <w:rsid w:val="00DE4D41"/>
    <w:rsid w:val="00DE503C"/>
    <w:rsid w:val="00DE6001"/>
    <w:rsid w:val="00DE7527"/>
    <w:rsid w:val="00DF2477"/>
    <w:rsid w:val="00DF26D3"/>
    <w:rsid w:val="00DF36E5"/>
    <w:rsid w:val="00DF6010"/>
    <w:rsid w:val="00E01680"/>
    <w:rsid w:val="00E027A6"/>
    <w:rsid w:val="00E02F42"/>
    <w:rsid w:val="00E038FC"/>
    <w:rsid w:val="00E03D2B"/>
    <w:rsid w:val="00E03EDA"/>
    <w:rsid w:val="00E06C8B"/>
    <w:rsid w:val="00E06DFC"/>
    <w:rsid w:val="00E1082D"/>
    <w:rsid w:val="00E11058"/>
    <w:rsid w:val="00E11172"/>
    <w:rsid w:val="00E11928"/>
    <w:rsid w:val="00E12E21"/>
    <w:rsid w:val="00E1325C"/>
    <w:rsid w:val="00E137D2"/>
    <w:rsid w:val="00E14075"/>
    <w:rsid w:val="00E1542B"/>
    <w:rsid w:val="00E17421"/>
    <w:rsid w:val="00E179B6"/>
    <w:rsid w:val="00E17DD1"/>
    <w:rsid w:val="00E20DB4"/>
    <w:rsid w:val="00E22BA2"/>
    <w:rsid w:val="00E22FA7"/>
    <w:rsid w:val="00E23EF5"/>
    <w:rsid w:val="00E247EC"/>
    <w:rsid w:val="00E30652"/>
    <w:rsid w:val="00E31848"/>
    <w:rsid w:val="00E33582"/>
    <w:rsid w:val="00E338F4"/>
    <w:rsid w:val="00E34881"/>
    <w:rsid w:val="00E36344"/>
    <w:rsid w:val="00E373E8"/>
    <w:rsid w:val="00E375AE"/>
    <w:rsid w:val="00E37E1C"/>
    <w:rsid w:val="00E37F52"/>
    <w:rsid w:val="00E40201"/>
    <w:rsid w:val="00E40DCE"/>
    <w:rsid w:val="00E41758"/>
    <w:rsid w:val="00E44D23"/>
    <w:rsid w:val="00E450B9"/>
    <w:rsid w:val="00E46DD2"/>
    <w:rsid w:val="00E478FF"/>
    <w:rsid w:val="00E504A2"/>
    <w:rsid w:val="00E51299"/>
    <w:rsid w:val="00E52592"/>
    <w:rsid w:val="00E52812"/>
    <w:rsid w:val="00E53541"/>
    <w:rsid w:val="00E5466A"/>
    <w:rsid w:val="00E54F34"/>
    <w:rsid w:val="00E5509B"/>
    <w:rsid w:val="00E564C0"/>
    <w:rsid w:val="00E56E07"/>
    <w:rsid w:val="00E57837"/>
    <w:rsid w:val="00E57DC9"/>
    <w:rsid w:val="00E626C4"/>
    <w:rsid w:val="00E64BDE"/>
    <w:rsid w:val="00E651B9"/>
    <w:rsid w:val="00E65230"/>
    <w:rsid w:val="00E65BEB"/>
    <w:rsid w:val="00E66155"/>
    <w:rsid w:val="00E679F5"/>
    <w:rsid w:val="00E67E3A"/>
    <w:rsid w:val="00E70DA1"/>
    <w:rsid w:val="00E711CC"/>
    <w:rsid w:val="00E725FB"/>
    <w:rsid w:val="00E74454"/>
    <w:rsid w:val="00E771F2"/>
    <w:rsid w:val="00E807C1"/>
    <w:rsid w:val="00E80DB8"/>
    <w:rsid w:val="00E80EA7"/>
    <w:rsid w:val="00E83DE3"/>
    <w:rsid w:val="00E849F6"/>
    <w:rsid w:val="00E85C3B"/>
    <w:rsid w:val="00E86038"/>
    <w:rsid w:val="00E862B6"/>
    <w:rsid w:val="00E8706F"/>
    <w:rsid w:val="00E876E9"/>
    <w:rsid w:val="00E90568"/>
    <w:rsid w:val="00E908D5"/>
    <w:rsid w:val="00E91FFE"/>
    <w:rsid w:val="00E92275"/>
    <w:rsid w:val="00E934BD"/>
    <w:rsid w:val="00E965B5"/>
    <w:rsid w:val="00E966CA"/>
    <w:rsid w:val="00E97228"/>
    <w:rsid w:val="00EA3072"/>
    <w:rsid w:val="00EA311E"/>
    <w:rsid w:val="00EA4150"/>
    <w:rsid w:val="00EA5292"/>
    <w:rsid w:val="00EA5816"/>
    <w:rsid w:val="00EA62E9"/>
    <w:rsid w:val="00EA66BB"/>
    <w:rsid w:val="00EA6700"/>
    <w:rsid w:val="00EB1B3A"/>
    <w:rsid w:val="00EB22B0"/>
    <w:rsid w:val="00EB3086"/>
    <w:rsid w:val="00EB35B1"/>
    <w:rsid w:val="00EB3DB9"/>
    <w:rsid w:val="00EB430D"/>
    <w:rsid w:val="00EB7FF7"/>
    <w:rsid w:val="00EC11FC"/>
    <w:rsid w:val="00EC242C"/>
    <w:rsid w:val="00EC3BC5"/>
    <w:rsid w:val="00EC3D4B"/>
    <w:rsid w:val="00EC3E19"/>
    <w:rsid w:val="00EC589F"/>
    <w:rsid w:val="00EC6556"/>
    <w:rsid w:val="00EC6938"/>
    <w:rsid w:val="00EC72FC"/>
    <w:rsid w:val="00EC751F"/>
    <w:rsid w:val="00EC7CD9"/>
    <w:rsid w:val="00ED0284"/>
    <w:rsid w:val="00ED3C61"/>
    <w:rsid w:val="00ED56D2"/>
    <w:rsid w:val="00ED5FD9"/>
    <w:rsid w:val="00EE0840"/>
    <w:rsid w:val="00EE0B9F"/>
    <w:rsid w:val="00EE2258"/>
    <w:rsid w:val="00EE2930"/>
    <w:rsid w:val="00EE314A"/>
    <w:rsid w:val="00EE327D"/>
    <w:rsid w:val="00EE3EC7"/>
    <w:rsid w:val="00EE5BF9"/>
    <w:rsid w:val="00EE7746"/>
    <w:rsid w:val="00EF12D8"/>
    <w:rsid w:val="00EF1304"/>
    <w:rsid w:val="00EF21A6"/>
    <w:rsid w:val="00EF303E"/>
    <w:rsid w:val="00EF3521"/>
    <w:rsid w:val="00EF3936"/>
    <w:rsid w:val="00EF4D97"/>
    <w:rsid w:val="00EF4FA0"/>
    <w:rsid w:val="00EF7BD1"/>
    <w:rsid w:val="00F00725"/>
    <w:rsid w:val="00F01119"/>
    <w:rsid w:val="00F03330"/>
    <w:rsid w:val="00F047EE"/>
    <w:rsid w:val="00F0487B"/>
    <w:rsid w:val="00F07C18"/>
    <w:rsid w:val="00F1028B"/>
    <w:rsid w:val="00F12ADD"/>
    <w:rsid w:val="00F132CA"/>
    <w:rsid w:val="00F135FC"/>
    <w:rsid w:val="00F15F28"/>
    <w:rsid w:val="00F1611A"/>
    <w:rsid w:val="00F17245"/>
    <w:rsid w:val="00F178F9"/>
    <w:rsid w:val="00F21FF0"/>
    <w:rsid w:val="00F23790"/>
    <w:rsid w:val="00F245AF"/>
    <w:rsid w:val="00F24ED9"/>
    <w:rsid w:val="00F25D3F"/>
    <w:rsid w:val="00F32A7F"/>
    <w:rsid w:val="00F34944"/>
    <w:rsid w:val="00F35A62"/>
    <w:rsid w:val="00F35F06"/>
    <w:rsid w:val="00F36084"/>
    <w:rsid w:val="00F37921"/>
    <w:rsid w:val="00F4444E"/>
    <w:rsid w:val="00F445F5"/>
    <w:rsid w:val="00F44694"/>
    <w:rsid w:val="00F44766"/>
    <w:rsid w:val="00F4479E"/>
    <w:rsid w:val="00F47027"/>
    <w:rsid w:val="00F4740A"/>
    <w:rsid w:val="00F476C0"/>
    <w:rsid w:val="00F47FBF"/>
    <w:rsid w:val="00F507BF"/>
    <w:rsid w:val="00F51931"/>
    <w:rsid w:val="00F547A6"/>
    <w:rsid w:val="00F55E8B"/>
    <w:rsid w:val="00F5661D"/>
    <w:rsid w:val="00F56FD7"/>
    <w:rsid w:val="00F5712B"/>
    <w:rsid w:val="00F57768"/>
    <w:rsid w:val="00F60720"/>
    <w:rsid w:val="00F60958"/>
    <w:rsid w:val="00F61730"/>
    <w:rsid w:val="00F628DF"/>
    <w:rsid w:val="00F63BA3"/>
    <w:rsid w:val="00F650C1"/>
    <w:rsid w:val="00F65362"/>
    <w:rsid w:val="00F655BB"/>
    <w:rsid w:val="00F66BA8"/>
    <w:rsid w:val="00F6700A"/>
    <w:rsid w:val="00F70A42"/>
    <w:rsid w:val="00F70FF6"/>
    <w:rsid w:val="00F71802"/>
    <w:rsid w:val="00F71BD7"/>
    <w:rsid w:val="00F723FE"/>
    <w:rsid w:val="00F734F9"/>
    <w:rsid w:val="00F73BC9"/>
    <w:rsid w:val="00F73FF0"/>
    <w:rsid w:val="00F74317"/>
    <w:rsid w:val="00F762E0"/>
    <w:rsid w:val="00F76340"/>
    <w:rsid w:val="00F776AF"/>
    <w:rsid w:val="00F8212D"/>
    <w:rsid w:val="00F82A6C"/>
    <w:rsid w:val="00F830EB"/>
    <w:rsid w:val="00F83908"/>
    <w:rsid w:val="00F83933"/>
    <w:rsid w:val="00F86471"/>
    <w:rsid w:val="00F91022"/>
    <w:rsid w:val="00F913C0"/>
    <w:rsid w:val="00F91A71"/>
    <w:rsid w:val="00F925F8"/>
    <w:rsid w:val="00F93074"/>
    <w:rsid w:val="00F9364B"/>
    <w:rsid w:val="00F93FD7"/>
    <w:rsid w:val="00F94071"/>
    <w:rsid w:val="00F94174"/>
    <w:rsid w:val="00F9477D"/>
    <w:rsid w:val="00F94A25"/>
    <w:rsid w:val="00F96187"/>
    <w:rsid w:val="00F9742F"/>
    <w:rsid w:val="00FA0539"/>
    <w:rsid w:val="00FA0AE7"/>
    <w:rsid w:val="00FA0E42"/>
    <w:rsid w:val="00FA1722"/>
    <w:rsid w:val="00FA49DB"/>
    <w:rsid w:val="00FA4BB6"/>
    <w:rsid w:val="00FA54DE"/>
    <w:rsid w:val="00FA54F0"/>
    <w:rsid w:val="00FA78D6"/>
    <w:rsid w:val="00FB22BC"/>
    <w:rsid w:val="00FB4953"/>
    <w:rsid w:val="00FB4CA5"/>
    <w:rsid w:val="00FB7415"/>
    <w:rsid w:val="00FC3C19"/>
    <w:rsid w:val="00FC4C8D"/>
    <w:rsid w:val="00FD0BF9"/>
    <w:rsid w:val="00FD12A3"/>
    <w:rsid w:val="00FD21E4"/>
    <w:rsid w:val="00FD29CD"/>
    <w:rsid w:val="00FD4A8F"/>
    <w:rsid w:val="00FD5869"/>
    <w:rsid w:val="00FD6570"/>
    <w:rsid w:val="00FD770D"/>
    <w:rsid w:val="00FD7DE0"/>
    <w:rsid w:val="00FD7F4C"/>
    <w:rsid w:val="00FE0DC9"/>
    <w:rsid w:val="00FE1C98"/>
    <w:rsid w:val="00FE421B"/>
    <w:rsid w:val="00FE44C3"/>
    <w:rsid w:val="00FE50D6"/>
    <w:rsid w:val="00FE6B72"/>
    <w:rsid w:val="00FF2954"/>
    <w:rsid w:val="00FF35CD"/>
    <w:rsid w:val="00FF378F"/>
    <w:rsid w:val="00FF41E8"/>
    <w:rsid w:val="00FF4355"/>
    <w:rsid w:val="00FF45DA"/>
    <w:rsid w:val="00FF5396"/>
    <w:rsid w:val="00FF68EB"/>
    <w:rsid w:val="018F1A5F"/>
    <w:rsid w:val="01E1067F"/>
    <w:rsid w:val="03034941"/>
    <w:rsid w:val="04E817E8"/>
    <w:rsid w:val="056137EF"/>
    <w:rsid w:val="06236156"/>
    <w:rsid w:val="069B0DC1"/>
    <w:rsid w:val="08512C9F"/>
    <w:rsid w:val="08637ADD"/>
    <w:rsid w:val="08652195"/>
    <w:rsid w:val="08D14246"/>
    <w:rsid w:val="0946657C"/>
    <w:rsid w:val="0971741D"/>
    <w:rsid w:val="09E21CBF"/>
    <w:rsid w:val="0AF2739D"/>
    <w:rsid w:val="0B475D5A"/>
    <w:rsid w:val="0B973390"/>
    <w:rsid w:val="0C1A784C"/>
    <w:rsid w:val="0C6F788F"/>
    <w:rsid w:val="0D3246D8"/>
    <w:rsid w:val="0D5F4012"/>
    <w:rsid w:val="0E4A29FE"/>
    <w:rsid w:val="0E4C6C15"/>
    <w:rsid w:val="0E6A21A4"/>
    <w:rsid w:val="0EFF6C13"/>
    <w:rsid w:val="0F78411F"/>
    <w:rsid w:val="0FA3019A"/>
    <w:rsid w:val="107D20EC"/>
    <w:rsid w:val="108B32EC"/>
    <w:rsid w:val="11A007F3"/>
    <w:rsid w:val="11B35893"/>
    <w:rsid w:val="122330DE"/>
    <w:rsid w:val="12733AA2"/>
    <w:rsid w:val="131B10CD"/>
    <w:rsid w:val="144237A3"/>
    <w:rsid w:val="149C59E3"/>
    <w:rsid w:val="14A7468A"/>
    <w:rsid w:val="14D0034D"/>
    <w:rsid w:val="15AF582F"/>
    <w:rsid w:val="15D869C2"/>
    <w:rsid w:val="172314DF"/>
    <w:rsid w:val="18CF2D0B"/>
    <w:rsid w:val="194D6F0B"/>
    <w:rsid w:val="1B617D05"/>
    <w:rsid w:val="1CEE518D"/>
    <w:rsid w:val="1D487681"/>
    <w:rsid w:val="1D7364CC"/>
    <w:rsid w:val="1DB418AE"/>
    <w:rsid w:val="20C75177"/>
    <w:rsid w:val="21002445"/>
    <w:rsid w:val="229E4504"/>
    <w:rsid w:val="254B04DC"/>
    <w:rsid w:val="256230B0"/>
    <w:rsid w:val="25AB3A77"/>
    <w:rsid w:val="267C5153"/>
    <w:rsid w:val="27554215"/>
    <w:rsid w:val="280157D4"/>
    <w:rsid w:val="282F56ED"/>
    <w:rsid w:val="288F06FB"/>
    <w:rsid w:val="29280C91"/>
    <w:rsid w:val="296C354B"/>
    <w:rsid w:val="29A74027"/>
    <w:rsid w:val="2A9C17FB"/>
    <w:rsid w:val="2B0D6841"/>
    <w:rsid w:val="2C304563"/>
    <w:rsid w:val="2C6A0E34"/>
    <w:rsid w:val="2E89772C"/>
    <w:rsid w:val="2FC02D9C"/>
    <w:rsid w:val="3015041B"/>
    <w:rsid w:val="31141404"/>
    <w:rsid w:val="31CA163D"/>
    <w:rsid w:val="322F15DD"/>
    <w:rsid w:val="329D695D"/>
    <w:rsid w:val="33095DA0"/>
    <w:rsid w:val="33F81E1F"/>
    <w:rsid w:val="347B2CCE"/>
    <w:rsid w:val="354F706D"/>
    <w:rsid w:val="35EB3D86"/>
    <w:rsid w:val="36BD5F42"/>
    <w:rsid w:val="36F604C1"/>
    <w:rsid w:val="374138B7"/>
    <w:rsid w:val="37885D7A"/>
    <w:rsid w:val="38D74431"/>
    <w:rsid w:val="3ABF7518"/>
    <w:rsid w:val="3AF92B9E"/>
    <w:rsid w:val="3B6444BC"/>
    <w:rsid w:val="3C0814AA"/>
    <w:rsid w:val="3C3D07DE"/>
    <w:rsid w:val="3CE65F8F"/>
    <w:rsid w:val="3D286D5A"/>
    <w:rsid w:val="3D634DA7"/>
    <w:rsid w:val="3F102AD8"/>
    <w:rsid w:val="3F127B95"/>
    <w:rsid w:val="3FF77DEC"/>
    <w:rsid w:val="401F0408"/>
    <w:rsid w:val="41AF5103"/>
    <w:rsid w:val="4257172C"/>
    <w:rsid w:val="42620093"/>
    <w:rsid w:val="42680526"/>
    <w:rsid w:val="43531249"/>
    <w:rsid w:val="44331655"/>
    <w:rsid w:val="444F096A"/>
    <w:rsid w:val="44733D16"/>
    <w:rsid w:val="44C97C06"/>
    <w:rsid w:val="45EF6939"/>
    <w:rsid w:val="45F1083C"/>
    <w:rsid w:val="46256882"/>
    <w:rsid w:val="46E072D8"/>
    <w:rsid w:val="48006C26"/>
    <w:rsid w:val="483775A4"/>
    <w:rsid w:val="48943266"/>
    <w:rsid w:val="48A7640D"/>
    <w:rsid w:val="4A0C119D"/>
    <w:rsid w:val="4BA66D73"/>
    <w:rsid w:val="4BB51C23"/>
    <w:rsid w:val="4D3F778E"/>
    <w:rsid w:val="4DC223D3"/>
    <w:rsid w:val="4F66075B"/>
    <w:rsid w:val="4F6E482A"/>
    <w:rsid w:val="4FD43948"/>
    <w:rsid w:val="50B60EBE"/>
    <w:rsid w:val="51A55A26"/>
    <w:rsid w:val="52331D16"/>
    <w:rsid w:val="52384713"/>
    <w:rsid w:val="523D1C00"/>
    <w:rsid w:val="525172C0"/>
    <w:rsid w:val="53210C7A"/>
    <w:rsid w:val="544157B4"/>
    <w:rsid w:val="544C26E1"/>
    <w:rsid w:val="54B917AF"/>
    <w:rsid w:val="55541A01"/>
    <w:rsid w:val="55C761B2"/>
    <w:rsid w:val="55D46BE0"/>
    <w:rsid w:val="564C1227"/>
    <w:rsid w:val="57C540DC"/>
    <w:rsid w:val="58B95974"/>
    <w:rsid w:val="5ADE5A0B"/>
    <w:rsid w:val="5BBD7320"/>
    <w:rsid w:val="5C2A09B2"/>
    <w:rsid w:val="5D447ACD"/>
    <w:rsid w:val="5DE85C4B"/>
    <w:rsid w:val="5E2F0501"/>
    <w:rsid w:val="604204E2"/>
    <w:rsid w:val="61186C5D"/>
    <w:rsid w:val="616A4331"/>
    <w:rsid w:val="64FC4F35"/>
    <w:rsid w:val="65004976"/>
    <w:rsid w:val="66B26DFE"/>
    <w:rsid w:val="671C1375"/>
    <w:rsid w:val="673565FE"/>
    <w:rsid w:val="68A10B05"/>
    <w:rsid w:val="69730810"/>
    <w:rsid w:val="698B1F61"/>
    <w:rsid w:val="698C601F"/>
    <w:rsid w:val="6A666CB4"/>
    <w:rsid w:val="6B3A3526"/>
    <w:rsid w:val="6CCD0E0F"/>
    <w:rsid w:val="6CE66989"/>
    <w:rsid w:val="6E333342"/>
    <w:rsid w:val="6EF15113"/>
    <w:rsid w:val="6F7E0064"/>
    <w:rsid w:val="6FDF5AA1"/>
    <w:rsid w:val="70596C1C"/>
    <w:rsid w:val="709D7347"/>
    <w:rsid w:val="71133D02"/>
    <w:rsid w:val="718B7D34"/>
    <w:rsid w:val="728909C4"/>
    <w:rsid w:val="72FC5DD2"/>
    <w:rsid w:val="73722870"/>
    <w:rsid w:val="7378581E"/>
    <w:rsid w:val="73974727"/>
    <w:rsid w:val="74055B26"/>
    <w:rsid w:val="74BE7A92"/>
    <w:rsid w:val="75256D06"/>
    <w:rsid w:val="768537A4"/>
    <w:rsid w:val="7712202C"/>
    <w:rsid w:val="77E3618D"/>
    <w:rsid w:val="77FB69C9"/>
    <w:rsid w:val="78372A4C"/>
    <w:rsid w:val="79594CA4"/>
    <w:rsid w:val="79AD670B"/>
    <w:rsid w:val="79C82C20"/>
    <w:rsid w:val="7A4E5D78"/>
    <w:rsid w:val="7A8B6668"/>
    <w:rsid w:val="7B5D3F84"/>
    <w:rsid w:val="7CFC05A7"/>
    <w:rsid w:val="7D01240C"/>
    <w:rsid w:val="7D2708CA"/>
    <w:rsid w:val="7DAD7E49"/>
    <w:rsid w:val="7DFB5DBB"/>
    <w:rsid w:val="7E265ECE"/>
    <w:rsid w:val="7E9A7717"/>
    <w:rsid w:val="7EF742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nhideWhenUsed="0" w:uiPriority="0" w:semiHidden="0" w:name="annotation text"/>
    <w:lsdException w:qFormat="1" w:unhideWhenUsed="0" w:uiPriority="0" w:semiHidden="0" w:name="header"/>
    <w:lsdException w:qFormat="1"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qFormat="1" w:unhideWhenUsed="0" w:uiPriority="99" w:semiHidden="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22"/>
    <w:qFormat/>
    <w:uiPriority w:val="0"/>
    <w:pPr>
      <w:keepNext/>
      <w:keepLines/>
      <w:spacing w:before="50" w:beforeLines="50" w:after="50" w:afterLines="50" w:line="360" w:lineRule="auto"/>
      <w:outlineLvl w:val="0"/>
    </w:pPr>
    <w:rPr>
      <w:rFonts w:asciiTheme="minorHAnsi" w:hAnsiTheme="minorHAnsi"/>
      <w:b/>
      <w:kern w:val="44"/>
      <w:sz w:val="28"/>
    </w:rPr>
  </w:style>
  <w:style w:type="paragraph" w:styleId="3">
    <w:name w:val="heading 2"/>
    <w:basedOn w:val="1"/>
    <w:next w:val="1"/>
    <w:link w:val="23"/>
    <w:unhideWhenUsed/>
    <w:qFormat/>
    <w:uiPriority w:val="0"/>
    <w:pPr>
      <w:keepNext/>
      <w:keepLines/>
      <w:spacing w:before="260" w:after="50" w:afterLines="50" w:line="360" w:lineRule="auto"/>
      <w:outlineLvl w:val="1"/>
    </w:pPr>
    <w:rPr>
      <w:rFonts w:ascii="Arial" w:hAnsi="Arial"/>
      <w:b/>
      <w:sz w:val="24"/>
    </w:rPr>
  </w:style>
  <w:style w:type="paragraph" w:styleId="4">
    <w:name w:val="heading 3"/>
    <w:basedOn w:val="1"/>
    <w:next w:val="1"/>
    <w:unhideWhenUsed/>
    <w:qFormat/>
    <w:uiPriority w:val="0"/>
    <w:pPr>
      <w:keepNext/>
      <w:keepLines/>
      <w:spacing w:before="50" w:beforeLines="50" w:after="50" w:afterLines="50" w:line="360" w:lineRule="auto"/>
      <w:ind w:firstLine="880" w:firstLineChars="200"/>
      <w:outlineLvl w:val="2"/>
    </w:pPr>
    <w:rPr>
      <w:rFonts w:ascii="宋体" w:hAnsi="宋体" w:cs="宋体"/>
      <w:sz w:val="24"/>
      <w:szCs w:val="24"/>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26"/>
    <w:qFormat/>
    <w:uiPriority w:val="0"/>
    <w:pPr>
      <w:jc w:val="left"/>
    </w:pPr>
  </w:style>
  <w:style w:type="paragraph" w:styleId="6">
    <w:name w:val="Block Text"/>
    <w:qFormat/>
    <w:uiPriority w:val="99"/>
    <w:pPr>
      <w:kinsoku w:val="0"/>
      <w:snapToGrid w:val="0"/>
    </w:pPr>
    <w:rPr>
      <w:rFonts w:ascii="微软雅黑" w:hAnsi="微软雅黑" w:eastAsia="微软雅黑" w:cs="微软雅黑"/>
      <w:sz w:val="21"/>
      <w:szCs w:val="21"/>
      <w:lang w:val="en-GB" w:eastAsia="zh-CN" w:bidi="ar-SA"/>
    </w:rPr>
  </w:style>
  <w:style w:type="paragraph" w:styleId="7">
    <w:name w:val="Balloon Text"/>
    <w:basedOn w:val="1"/>
    <w:link w:val="29"/>
    <w:qFormat/>
    <w:uiPriority w:val="0"/>
    <w:rPr>
      <w:sz w:val="18"/>
      <w:szCs w:val="18"/>
    </w:rPr>
  </w:style>
  <w:style w:type="paragraph" w:styleId="8">
    <w:name w:val="footer"/>
    <w:basedOn w:val="1"/>
    <w:link w:val="30"/>
    <w:unhideWhenUsed/>
    <w:qFormat/>
    <w:uiPriority w:val="99"/>
    <w:pPr>
      <w:tabs>
        <w:tab w:val="center" w:pos="4153"/>
        <w:tab w:val="right" w:pos="8306"/>
      </w:tabs>
      <w:snapToGrid w:val="0"/>
      <w:jc w:val="left"/>
    </w:pPr>
    <w:rPr>
      <w:sz w:val="18"/>
      <w:szCs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0">
    <w:name w:val="toc 1"/>
    <w:basedOn w:val="1"/>
    <w:next w:val="1"/>
    <w:qFormat/>
    <w:uiPriority w:val="39"/>
  </w:style>
  <w:style w:type="paragraph" w:styleId="11">
    <w:name w:val="toc 2"/>
    <w:basedOn w:val="1"/>
    <w:next w:val="1"/>
    <w:qFormat/>
    <w:uiPriority w:val="39"/>
    <w:pPr>
      <w:ind w:left="420" w:leftChars="200"/>
    </w:pPr>
  </w:style>
  <w:style w:type="paragraph" w:styleId="12">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13">
    <w:name w:val="annotation subject"/>
    <w:basedOn w:val="5"/>
    <w:next w:val="5"/>
    <w:link w:val="27"/>
    <w:qFormat/>
    <w:uiPriority w:val="0"/>
    <w:rPr>
      <w:b/>
      <w:bCs/>
    </w:rPr>
  </w:style>
  <w:style w:type="table" w:styleId="15">
    <w:name w:val="Table Grid"/>
    <w:basedOn w:val="14"/>
    <w:qFormat/>
    <w:uiPriority w:val="0"/>
    <w:pPr>
      <w:spacing w:line="360" w:lineRule="exact"/>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Emphasis"/>
    <w:basedOn w:val="16"/>
    <w:qFormat/>
    <w:uiPriority w:val="0"/>
    <w:rPr>
      <w:i/>
      <w:iCs/>
    </w:rPr>
  </w:style>
  <w:style w:type="character" w:styleId="18">
    <w:name w:val="Hyperlink"/>
    <w:basedOn w:val="16"/>
    <w:unhideWhenUsed/>
    <w:qFormat/>
    <w:uiPriority w:val="99"/>
    <w:rPr>
      <w:color w:val="0563C1" w:themeColor="hyperlink"/>
      <w:u w:val="single"/>
      <w14:textFill>
        <w14:solidFill>
          <w14:schemeClr w14:val="hlink"/>
        </w14:solidFill>
      </w14:textFill>
    </w:rPr>
  </w:style>
  <w:style w:type="character" w:styleId="19">
    <w:name w:val="annotation reference"/>
    <w:basedOn w:val="16"/>
    <w:qFormat/>
    <w:uiPriority w:val="0"/>
    <w:rPr>
      <w:sz w:val="21"/>
      <w:szCs w:val="21"/>
    </w:rPr>
  </w:style>
  <w:style w:type="paragraph" w:styleId="20">
    <w:name w:val="List Paragraph"/>
    <w:basedOn w:val="1"/>
    <w:qFormat/>
    <w:uiPriority w:val="34"/>
    <w:pPr>
      <w:ind w:firstLine="420" w:firstLineChars="200"/>
    </w:pPr>
  </w:style>
  <w:style w:type="paragraph" w:customStyle="1" w:styleId="21">
    <w:name w:val="条文"/>
    <w:basedOn w:val="1"/>
    <w:qFormat/>
    <w:uiPriority w:val="99"/>
    <w:pPr>
      <w:spacing w:line="300" w:lineRule="auto"/>
      <w:outlineLvl w:val="2"/>
    </w:pPr>
    <w:rPr>
      <w:rFonts w:ascii="Times New Roman" w:hAnsi="Times New Roman"/>
      <w:sz w:val="24"/>
      <w:szCs w:val="24"/>
    </w:rPr>
  </w:style>
  <w:style w:type="character" w:customStyle="1" w:styleId="22">
    <w:name w:val="标题 1 字符"/>
    <w:link w:val="2"/>
    <w:qFormat/>
    <w:uiPriority w:val="0"/>
    <w:rPr>
      <w:rFonts w:eastAsia="宋体" w:asciiTheme="minorHAnsi" w:hAnsiTheme="minorHAnsi"/>
      <w:b/>
      <w:kern w:val="44"/>
      <w:sz w:val="28"/>
    </w:rPr>
  </w:style>
  <w:style w:type="character" w:customStyle="1" w:styleId="23">
    <w:name w:val="标题 2 字符"/>
    <w:link w:val="3"/>
    <w:qFormat/>
    <w:uiPriority w:val="0"/>
    <w:rPr>
      <w:rFonts w:ascii="Arial" w:hAnsi="Arial" w:eastAsia="宋体"/>
      <w:b/>
      <w:sz w:val="24"/>
    </w:rPr>
  </w:style>
  <w:style w:type="paragraph" w:customStyle="1" w:styleId="24">
    <w:name w:val="WPSOffice手动目录 1"/>
    <w:qFormat/>
    <w:uiPriority w:val="0"/>
    <w:rPr>
      <w:rFonts w:asciiTheme="minorHAnsi" w:hAnsiTheme="minorHAnsi" w:eastAsiaTheme="minorEastAsia" w:cstheme="minorBidi"/>
      <w:lang w:val="en-US" w:eastAsia="zh-CN" w:bidi="ar-SA"/>
    </w:rPr>
  </w:style>
  <w:style w:type="paragraph" w:customStyle="1" w:styleId="25">
    <w:name w:val="WPSOffice手动目录 2"/>
    <w:qFormat/>
    <w:uiPriority w:val="0"/>
    <w:pPr>
      <w:ind w:left="200" w:leftChars="200"/>
    </w:pPr>
    <w:rPr>
      <w:rFonts w:asciiTheme="minorHAnsi" w:hAnsiTheme="minorHAnsi" w:eastAsiaTheme="minorEastAsia" w:cstheme="minorBidi"/>
      <w:lang w:val="en-US" w:eastAsia="zh-CN" w:bidi="ar-SA"/>
    </w:rPr>
  </w:style>
  <w:style w:type="character" w:customStyle="1" w:styleId="26">
    <w:name w:val="批注文字 字符"/>
    <w:basedOn w:val="16"/>
    <w:link w:val="5"/>
    <w:qFormat/>
    <w:uiPriority w:val="0"/>
    <w:rPr>
      <w:rFonts w:ascii="Calibri" w:hAnsi="Calibri" w:eastAsia="宋体" w:cs="Times New Roman"/>
      <w:kern w:val="2"/>
      <w:sz w:val="21"/>
      <w:szCs w:val="22"/>
    </w:rPr>
  </w:style>
  <w:style w:type="character" w:customStyle="1" w:styleId="27">
    <w:name w:val="批注主题 字符"/>
    <w:basedOn w:val="26"/>
    <w:link w:val="13"/>
    <w:qFormat/>
    <w:uiPriority w:val="0"/>
    <w:rPr>
      <w:rFonts w:ascii="Calibri" w:hAnsi="Calibri" w:eastAsia="宋体" w:cs="Times New Roman"/>
      <w:b/>
      <w:bCs/>
      <w:kern w:val="2"/>
      <w:sz w:val="21"/>
      <w:szCs w:val="22"/>
    </w:rPr>
  </w:style>
  <w:style w:type="paragraph" w:customStyle="1" w:styleId="28">
    <w:name w:val="Default"/>
    <w:qFormat/>
    <w:uiPriority w:val="0"/>
    <w:pPr>
      <w:widowControl w:val="0"/>
      <w:autoSpaceDE w:val="0"/>
      <w:autoSpaceDN w:val="0"/>
      <w:adjustRightInd w:val="0"/>
    </w:pPr>
    <w:rPr>
      <w:rFonts w:ascii="Calibri" w:hAnsi="Calibri" w:cs="Calibri" w:eastAsiaTheme="minorEastAsia"/>
      <w:color w:val="000000"/>
      <w:sz w:val="24"/>
      <w:szCs w:val="24"/>
      <w:lang w:val="en-US" w:eastAsia="zh-CN" w:bidi="ar-SA"/>
    </w:rPr>
  </w:style>
  <w:style w:type="character" w:customStyle="1" w:styleId="29">
    <w:name w:val="批注框文本 字符"/>
    <w:basedOn w:val="16"/>
    <w:link w:val="7"/>
    <w:qFormat/>
    <w:uiPriority w:val="0"/>
    <w:rPr>
      <w:rFonts w:ascii="Calibri" w:hAnsi="Calibri" w:eastAsia="宋体" w:cs="Times New Roman"/>
      <w:kern w:val="2"/>
      <w:sz w:val="18"/>
      <w:szCs w:val="18"/>
    </w:rPr>
  </w:style>
  <w:style w:type="character" w:customStyle="1" w:styleId="30">
    <w:name w:val="页脚 字符"/>
    <w:basedOn w:val="16"/>
    <w:link w:val="8"/>
    <w:qFormat/>
    <w:uiPriority w:val="99"/>
    <w:rPr>
      <w:rFonts w:ascii="Calibri" w:hAnsi="Calibri" w:eastAsia="宋体" w:cs="Times New Roman"/>
      <w:kern w:val="2"/>
      <w:sz w:val="18"/>
      <w:szCs w:val="18"/>
    </w:rPr>
  </w:style>
  <w:style w:type="table" w:customStyle="1" w:styleId="31">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0445A1-3069-4D38-9954-E3C19DF0B741}">
  <ds:schemaRefs/>
</ds:datastoreItem>
</file>

<file path=docProps/app.xml><?xml version="1.0" encoding="utf-8"?>
<Properties xmlns="http://schemas.openxmlformats.org/officeDocument/2006/extended-properties" xmlns:vt="http://schemas.openxmlformats.org/officeDocument/2006/docPropsVTypes">
  <Template>Normal</Template>
  <Pages>71</Pages>
  <Words>24497</Words>
  <Characters>26346</Characters>
  <Lines>251</Lines>
  <Paragraphs>70</Paragraphs>
  <TotalTime>0</TotalTime>
  <ScaleCrop>false</ScaleCrop>
  <LinksUpToDate>false</LinksUpToDate>
  <CharactersWithSpaces>26717</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2022-08-01T03:00:00Z</dcterms:created>
  <dc:creator>Administrator</dc:creator>
  <cp:lastModifiedBy>黄章来</cp:lastModifiedBy>
  <cp:lastPrinted>2023-02-25T01:10:00Z</cp:lastPrinted>
  <dcterms:modified xsi:type="dcterms:W3CDTF">2024-05-31T07:19:08Z</dcterms:modified>
  <cp:revision>2334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07B489A2AEC34E3D829C155391A35426_12</vt:lpwstr>
  </property>
</Properties>
</file>